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一、蔬菜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《食品安全国家标准 食品中农药最大残留限量》（GB 2763-2014 ）、《食品安全国家标准 食品中污染物限量》（GB 2762-2012）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1.茄子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甲拌磷、腐霉利、氟虫腈。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普通白菜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</w:rPr>
        <w:t>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毒死蜱、氟虫腈、啶虫脒、氧乐果、铅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以Pb计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 w:cs="华文仿宋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鲜食用菌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二氧化硫残留量、腐霉利、氟虫腈。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 w:cs="华文仿宋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番茄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腐霉利、甲拌磷、氟虫腈。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5</w:t>
      </w:r>
      <w:r>
        <w:rPr>
          <w:rFonts w:hint="eastAsia" w:ascii="仿宋_GB2312" w:hAnsi="华文仿宋" w:eastAsia="仿宋_GB2312" w:cs="华文仿宋"/>
          <w:sz w:val="32"/>
          <w:szCs w:val="32"/>
        </w:rPr>
        <w:t>.</w:t>
      </w:r>
      <w:r>
        <w:rPr>
          <w:rFonts w:hint="default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黄瓜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甲拌磷、三唑酮、氧乐果</w:t>
      </w:r>
      <w:r>
        <w:rPr>
          <w:rFonts w:hint="eastAsia" w:ascii="仿宋_GB2312" w:hAnsi="华文仿宋" w:eastAsia="仿宋_GB2312" w:cs="华文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 w:cs="华文仿宋"/>
          <w:sz w:val="32"/>
          <w:szCs w:val="32"/>
        </w:rPr>
        <w:t>.</w:t>
      </w:r>
      <w:r>
        <w:rPr>
          <w:rFonts w:hint="default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油麦菜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氟虫腈、氧乐果、甲拌磷</w:t>
      </w:r>
      <w:r>
        <w:rPr>
          <w:rFonts w:hint="eastAsia" w:ascii="仿宋_GB2312" w:hAnsi="华文仿宋" w:eastAsia="仿宋_GB2312" w:cs="华文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 w:cs="华文仿宋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菠菜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毒死蜱、氧乐果、阿维菌素、甲拌磷</w:t>
      </w:r>
      <w:r>
        <w:rPr>
          <w:rFonts w:hint="eastAsia" w:ascii="仿宋_GB2312" w:hAnsi="华文仿宋" w:eastAsia="仿宋_GB2312" w:cs="华文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8</w:t>
      </w:r>
      <w:r>
        <w:rPr>
          <w:rFonts w:hint="eastAsia" w:ascii="仿宋_GB2312" w:hAnsi="华文仿宋" w:eastAsia="仿宋_GB2312" w:cs="华文仿宋"/>
          <w:sz w:val="32"/>
          <w:szCs w:val="32"/>
        </w:rPr>
        <w:t>.</w:t>
      </w:r>
      <w:r>
        <w:rPr>
          <w:rFonts w:hint="default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韭菜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腐霉利、毒死蜱、氧乐果、克百威、甲拌磷、铅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以Pb计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华文仿宋" w:eastAsia="仿宋_GB2312" w:cs="华文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9</w:t>
      </w:r>
      <w:r>
        <w:rPr>
          <w:rFonts w:hint="eastAsia" w:ascii="仿宋_GB2312" w:hAnsi="华文仿宋" w:eastAsia="仿宋_GB2312" w:cs="华文仿宋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辣椒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克百威、氧乐果、毒死蜱</w:t>
      </w:r>
      <w:r>
        <w:rPr>
          <w:rFonts w:hint="eastAsia" w:ascii="仿宋_GB2312" w:hAnsi="华文仿宋" w:eastAsia="仿宋_GB2312" w:cs="华文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10.</w:t>
      </w:r>
      <w:r>
        <w:rPr>
          <w:rFonts w:hint="default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马铃薯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为甲拌磷、氟虫腈、氧乐果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11.</w:t>
      </w:r>
      <w:r>
        <w:rPr>
          <w:rFonts w:hint="default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芹菜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毒死蜱、甲拌磷、克百威、氟虫腈、氧乐果、铅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以Pb计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二、水果</w:t>
      </w:r>
    </w:p>
    <w:p>
      <w:pPr>
        <w:numPr>
          <w:ilvl w:val="0"/>
          <w:numId w:val="3"/>
        </w:numPr>
        <w:ind w:firstLine="284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食品中农药最大残留限量》（GB 2763-2014 ）、《食品安全国家标准 食品中污染物限量》（GB 2762-2012）</w:t>
      </w:r>
    </w:p>
    <w:p>
      <w:pPr>
        <w:ind w:firstLine="284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梨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氧乐果、辛硫磷、灭线磷、氯氟氰菊酯和高效氯氟氰菊酯、阿维菌素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2.柑、橘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溴氰菊酯、辛硫磷、戊唑醇、氟虫腈、毒死蜱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香蕉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吡唑醚菌酯、腐霉利、氧乐果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4.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苹果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毒死蜱、丙溴磷、苯醚甲环唑、阿维菌素、甲基异柳磷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960" w:firstLineChars="300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仿宋_GB2312"/>
          <w:bCs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畜禽肉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整顿办函〔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2010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50号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《食品中可能违法添加的非食用物质和易滥用的食品添加剂名单（第四批）》、农业部公告第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235号《动物性食品中兽药最高残留限量》、农业部公告第292号《食品动物中停止使用洛美沙星、培氟沙星、氧氟沙星、诺氟沙星4种兽药的决定》、农业部公告第560号《兽药地方标准废止目录》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1.猪肉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为克伦特罗、沙丁胺醇、氯霉素、铅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以Pb计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960" w:firstLineChars="300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bCs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水产品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农业部公告第235号《动物性食品中兽药最高残留限量》、GB 2762-2012《食品安全国家标准 食品中污染物限量》、农业部公告第2292号发布在食品动物中停止使用洛美沙星、培氟沙星、氧氟沙星、诺氟沙星4种兽药的决定、农业部公告第560号《兽药地方标准废止目录》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1.淡水鱼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恩诺沙星、呋喃唑酮代谢物、孔雀石绿、氧氟沙星、氯霉素、镉（以Cd）计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2.淡水虾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呋喃西林代谢物、呋喃唑酮代谢物、镉（以Cd）计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3.海水虾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镉（以Cd）计、呋喃唑酮代谢物、呋喃它酮代谢物、呋喃西林代谢物、呋喃妥因代谢物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餐饮食品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2760-2014《食品安全国家标准 食品添加剂使用标准》,GB 2762-2017《食品安全国家标准 食品中污染物限量》,GB/T 23586-2009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《酱卤肉制品》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,GB 2726-2016《食品安全国家标准 熟肉制品》。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84" w:leftChars="0"/>
        <w:textAlignment w:val="auto"/>
        <w:rPr>
          <w:rFonts w:hint="default" w:ascii="楷体" w:hAnsi="楷体" w:eastAsia="楷体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 xml:space="preserve"> 1.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检验项目为亚硝酸盐、苯甲酸及其钠盐（以苯甲酸计）、山梨酸及其钾盐（以山梨酸计）、胭脂红、脱氢乙酸及其钠盐（以脱氢乙酸计）。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淀粉及淀粉制品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2760-2014《食品安全国家标准 食品添加剂使用标准》,GB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 xml:space="preserve">，GB 5009.182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食品安全国家标准 食品中铝的测定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淀粉及淀粉制品检验项目为二氧化硫残留量、铝的残留量（干样品，以A</w:t>
      </w:r>
      <w:r>
        <w:rPr>
          <w:rFonts w:hint="eastAsia" w:ascii="仿宋" w:hAnsi="仿宋" w:eastAsia="仿宋" w:cs="仿宋_GB2312"/>
          <w:color w:val="00000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计）。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食用油、油脂及其制品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600" w:lineRule="exact"/>
        <w:ind w:leftChars="200" w:firstLine="900" w:firstLineChars="3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0"/>
          <w:szCs w:val="30"/>
        </w:rPr>
        <w:t>抽检</w:t>
      </w:r>
      <w:r>
        <w:rPr>
          <w:rFonts w:hint="eastAsia" w:ascii="仿宋" w:hAnsi="仿宋" w:eastAsia="仿宋" w:cs="仿宋_GB2312"/>
          <w:sz w:val="32"/>
          <w:szCs w:val="32"/>
        </w:rPr>
        <w:t>依据是GB 2716-2018《食品安全国家标准 植物油》等标准及产品明示标准和指标的要求。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960" w:firstLineChars="3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1.食用油检验项目为酸价（以KOH计）、过氧化值、铅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以Pb计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糕点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仿宋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2760-2014《食品安全国家标准 食品添加剂使用标准》,GB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Chars="200" w:firstLine="320" w:firstLineChars="1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糕点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酸价（以脂肪计）、过氧化值（以脂肪计）、脱氢乙酸及其钠盐（以脱氢乙酸计）、苯甲酸及其钠盐（以苯甲酸计）、山梨酸及其钾盐（以山梨酸计）。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粮食加工品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2760-2014《食品安全国家标准 食品添加剂使用标准》,GB 2762-2017《食品安全国家标准 食品中污染物限量》,整顿办函〔2011〕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号《卫生部等 7 部门关于撤销食品添加剂过氧化苯甲酰、过氧化钙的公告》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 GB/T 1354-2018 《大米》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GB/T 1355-1986《小麦粉》,LS/T 321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2-2014《挂面》,NY/T 419-2014《绿色食品 稻米》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1.大米抽检项目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铅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以Pb计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、铬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(以Cr计)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、镉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(以Cd计)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、黄曲霉毒素B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 xml:space="preserve">  2.小麦粉抽检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</w:rPr>
        <w:t>铅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以Pb计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</w:rPr>
        <w:t>、黄曲霉毒素B</w:t>
      </w:r>
      <w:r>
        <w:rPr>
          <w:rFonts w:hint="eastAsia" w:ascii="仿宋" w:hAnsi="仿宋" w:eastAsia="仿宋" w:cs="仿宋_GB2312"/>
          <w:color w:val="00000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</w:rPr>
        <w:t>、过氧化苯甲酰、二氧化钛</w:t>
      </w:r>
      <w:r>
        <w:rPr>
          <w:rFonts w:hint="eastAsia" w:ascii="仿宋" w:hAnsi="仿宋" w:eastAsia="仿宋" w:cs="仿宋_GB2312"/>
          <w:color w:val="000000"/>
          <w:sz w:val="32"/>
          <w:szCs w:val="32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6F99"/>
    <w:multiLevelType w:val="singleLevel"/>
    <w:tmpl w:val="28066F9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101E52"/>
    <w:multiLevelType w:val="singleLevel"/>
    <w:tmpl w:val="59101E5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C224C"/>
    <w:rsid w:val="00185CFE"/>
    <w:rsid w:val="011F014E"/>
    <w:rsid w:val="022E1FEF"/>
    <w:rsid w:val="02456F83"/>
    <w:rsid w:val="02C3581C"/>
    <w:rsid w:val="06121661"/>
    <w:rsid w:val="077E7AE1"/>
    <w:rsid w:val="07851C5F"/>
    <w:rsid w:val="07AF7CB7"/>
    <w:rsid w:val="09E413BA"/>
    <w:rsid w:val="0A103333"/>
    <w:rsid w:val="0BC00EDA"/>
    <w:rsid w:val="0C534D10"/>
    <w:rsid w:val="12290001"/>
    <w:rsid w:val="125941B6"/>
    <w:rsid w:val="12692C6F"/>
    <w:rsid w:val="14D351C2"/>
    <w:rsid w:val="165757A4"/>
    <w:rsid w:val="16BD489F"/>
    <w:rsid w:val="175D2C3F"/>
    <w:rsid w:val="179D31B4"/>
    <w:rsid w:val="18BE3BB7"/>
    <w:rsid w:val="19C0033A"/>
    <w:rsid w:val="1D35297A"/>
    <w:rsid w:val="2189177D"/>
    <w:rsid w:val="22446244"/>
    <w:rsid w:val="228E2D0B"/>
    <w:rsid w:val="23891F7F"/>
    <w:rsid w:val="265A369E"/>
    <w:rsid w:val="298B3E63"/>
    <w:rsid w:val="2CCC3FAC"/>
    <w:rsid w:val="2D3E7CB6"/>
    <w:rsid w:val="33304038"/>
    <w:rsid w:val="338A3EC5"/>
    <w:rsid w:val="34EC11EF"/>
    <w:rsid w:val="352D3E9D"/>
    <w:rsid w:val="39C57977"/>
    <w:rsid w:val="3AB02E3B"/>
    <w:rsid w:val="3D7204A2"/>
    <w:rsid w:val="3E8C6551"/>
    <w:rsid w:val="3EF73966"/>
    <w:rsid w:val="3FC748C3"/>
    <w:rsid w:val="416A4026"/>
    <w:rsid w:val="41B36C8F"/>
    <w:rsid w:val="422F66E9"/>
    <w:rsid w:val="43633E88"/>
    <w:rsid w:val="45C6524E"/>
    <w:rsid w:val="4605308E"/>
    <w:rsid w:val="47190C57"/>
    <w:rsid w:val="47F62EE9"/>
    <w:rsid w:val="4AD206C2"/>
    <w:rsid w:val="4BE345D9"/>
    <w:rsid w:val="4C8A4615"/>
    <w:rsid w:val="4C8C3C3A"/>
    <w:rsid w:val="4EEE43CF"/>
    <w:rsid w:val="511F51DB"/>
    <w:rsid w:val="54745BAD"/>
    <w:rsid w:val="548A5AFD"/>
    <w:rsid w:val="549D2DC6"/>
    <w:rsid w:val="554A41F3"/>
    <w:rsid w:val="55AF054C"/>
    <w:rsid w:val="578E7F5E"/>
    <w:rsid w:val="584A6232"/>
    <w:rsid w:val="587E5489"/>
    <w:rsid w:val="5934225C"/>
    <w:rsid w:val="59C84A9C"/>
    <w:rsid w:val="5AA359F4"/>
    <w:rsid w:val="5B976478"/>
    <w:rsid w:val="5C245AD6"/>
    <w:rsid w:val="5D750542"/>
    <w:rsid w:val="5D781C08"/>
    <w:rsid w:val="5F636B8B"/>
    <w:rsid w:val="60E24360"/>
    <w:rsid w:val="629F1BE4"/>
    <w:rsid w:val="63383B24"/>
    <w:rsid w:val="63C30EF7"/>
    <w:rsid w:val="65170A69"/>
    <w:rsid w:val="66896120"/>
    <w:rsid w:val="68690541"/>
    <w:rsid w:val="68EE2E56"/>
    <w:rsid w:val="6A16501D"/>
    <w:rsid w:val="6E6D4593"/>
    <w:rsid w:val="6FD270E4"/>
    <w:rsid w:val="71B543B2"/>
    <w:rsid w:val="740D1BE5"/>
    <w:rsid w:val="74C04756"/>
    <w:rsid w:val="75C42727"/>
    <w:rsid w:val="77DC224C"/>
    <w:rsid w:val="77E02CC0"/>
    <w:rsid w:val="78180A65"/>
    <w:rsid w:val="78261224"/>
    <w:rsid w:val="786C52D6"/>
    <w:rsid w:val="799A77BE"/>
    <w:rsid w:val="79C56365"/>
    <w:rsid w:val="79EB5D2B"/>
    <w:rsid w:val="7AA16611"/>
    <w:rsid w:val="7BBE08E6"/>
    <w:rsid w:val="7E3831B7"/>
    <w:rsid w:val="7F4C5698"/>
    <w:rsid w:val="7F7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51"/>
    </w:pPr>
    <w:rPr>
      <w:rFonts w:ascii="宋体" w:hAnsi="宋体" w:eastAsia="宋体" w:cs="宋体"/>
      <w:sz w:val="21"/>
      <w:szCs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2019-11-08T03:25:00Z</dcterms:created>
  <dc:creator>灬Curtain</dc:creator>
  <cp:lastModifiedBy>admin</cp:lastModifiedBy>
  <dcterms:modified xsi:type="dcterms:W3CDTF">2020-04-17T01:54:32Z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