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93A96E">
      <w:pPr>
        <w:pStyle w:val="2"/>
        <w:bidi w:val="0"/>
        <w:spacing w:before="0" w:after="0" w:line="240" w:lineRule="auto"/>
        <w:jc w:val="center"/>
        <w:rPr>
          <w:rFonts w:ascii="宋体" w:hAnsi="宋体" w:eastAsia="宋体" w:cs="宋体"/>
          <w:sz w:val="43"/>
          <w:szCs w:val="43"/>
        </w:rPr>
      </w:pPr>
      <w:r>
        <w:rPr>
          <w:rFonts w:hint="eastAsia" w:ascii="宋体" w:hAnsi="宋体" w:eastAsia="宋体" w:cs="宋体"/>
          <w:b/>
          <w:bCs/>
          <w:spacing w:val="2"/>
          <w:sz w:val="43"/>
          <w:szCs w:val="43"/>
          <w:lang w:eastAsia="zh-CN"/>
        </w:rPr>
        <w:t>宁武县民族宗教事务局</w:t>
      </w:r>
      <w:r>
        <w:rPr>
          <w:rFonts w:ascii="宋体" w:hAnsi="宋体" w:eastAsia="宋体" w:cs="宋体"/>
          <w:b/>
          <w:bCs/>
          <w:spacing w:val="2"/>
          <w:sz w:val="43"/>
          <w:szCs w:val="43"/>
        </w:rPr>
        <w:t>行政执法事项目录清单</w:t>
      </w:r>
    </w:p>
    <w:p w14:paraId="07CA9D6D">
      <w:pPr>
        <w:spacing w:line="130" w:lineRule="exact"/>
      </w:pPr>
    </w:p>
    <w:tbl>
      <w:tblPr>
        <w:tblStyle w:val="9"/>
        <w:tblW w:w="14570"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4"/>
        <w:gridCol w:w="2574"/>
        <w:gridCol w:w="1605"/>
        <w:gridCol w:w="4725"/>
        <w:gridCol w:w="1845"/>
        <w:gridCol w:w="1853"/>
        <w:gridCol w:w="1094"/>
      </w:tblGrid>
      <w:tr w14:paraId="7F1445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jc w:val="center"/>
        </w:trPr>
        <w:tc>
          <w:tcPr>
            <w:tcW w:w="874" w:type="dxa"/>
            <w:vAlign w:val="top"/>
          </w:tcPr>
          <w:p w14:paraId="34180E91">
            <w:pPr>
              <w:pStyle w:val="8"/>
              <w:spacing w:line="242" w:lineRule="auto"/>
            </w:pPr>
          </w:p>
          <w:p w14:paraId="544FECDD">
            <w:pPr>
              <w:spacing w:before="101" w:line="221" w:lineRule="auto"/>
              <w:ind w:left="79"/>
              <w:rPr>
                <w:rFonts w:ascii="宋体" w:hAnsi="宋体" w:eastAsia="宋体" w:cs="宋体"/>
                <w:sz w:val="31"/>
                <w:szCs w:val="31"/>
              </w:rPr>
            </w:pPr>
            <w:r>
              <w:rPr>
                <w:rFonts w:ascii="宋体" w:hAnsi="宋体" w:eastAsia="宋体" w:cs="宋体"/>
                <w:b/>
                <w:bCs/>
                <w:spacing w:val="1"/>
                <w:sz w:val="31"/>
                <w:szCs w:val="31"/>
              </w:rPr>
              <w:t>序号</w:t>
            </w:r>
          </w:p>
        </w:tc>
        <w:tc>
          <w:tcPr>
            <w:tcW w:w="2574" w:type="dxa"/>
            <w:vAlign w:val="top"/>
          </w:tcPr>
          <w:p w14:paraId="2BFB25FC">
            <w:pPr>
              <w:pStyle w:val="8"/>
              <w:spacing w:line="242" w:lineRule="auto"/>
            </w:pPr>
          </w:p>
          <w:p w14:paraId="56B7C08D">
            <w:pPr>
              <w:spacing w:before="100" w:line="220" w:lineRule="auto"/>
              <w:jc w:val="center"/>
              <w:rPr>
                <w:rFonts w:ascii="宋体" w:hAnsi="宋体" w:eastAsia="宋体" w:cs="宋体"/>
                <w:sz w:val="31"/>
                <w:szCs w:val="31"/>
              </w:rPr>
            </w:pPr>
            <w:r>
              <w:rPr>
                <w:rFonts w:ascii="宋体" w:hAnsi="宋体" w:eastAsia="宋体" w:cs="宋体"/>
                <w:b/>
                <w:bCs/>
                <w:spacing w:val="-6"/>
                <w:sz w:val="31"/>
                <w:szCs w:val="31"/>
              </w:rPr>
              <w:t>事项名称</w:t>
            </w:r>
          </w:p>
        </w:tc>
        <w:tc>
          <w:tcPr>
            <w:tcW w:w="1605" w:type="dxa"/>
            <w:vAlign w:val="top"/>
          </w:tcPr>
          <w:p w14:paraId="774A92FD">
            <w:pPr>
              <w:pStyle w:val="8"/>
              <w:spacing w:line="241" w:lineRule="auto"/>
            </w:pPr>
          </w:p>
          <w:p w14:paraId="2E9A91DF">
            <w:pPr>
              <w:spacing w:before="100" w:line="219" w:lineRule="auto"/>
              <w:ind w:left="267"/>
              <w:rPr>
                <w:rFonts w:ascii="宋体" w:hAnsi="宋体" w:eastAsia="宋体" w:cs="宋体"/>
                <w:sz w:val="31"/>
                <w:szCs w:val="31"/>
              </w:rPr>
            </w:pPr>
            <w:r>
              <w:rPr>
                <w:rFonts w:ascii="宋体" w:hAnsi="宋体" w:eastAsia="宋体" w:cs="宋体"/>
                <w:b/>
                <w:bCs/>
                <w:spacing w:val="-1"/>
                <w:sz w:val="31"/>
                <w:szCs w:val="31"/>
              </w:rPr>
              <w:t>事项类型</w:t>
            </w:r>
          </w:p>
        </w:tc>
        <w:tc>
          <w:tcPr>
            <w:tcW w:w="4725" w:type="dxa"/>
            <w:vAlign w:val="top"/>
          </w:tcPr>
          <w:p w14:paraId="6404D018">
            <w:pPr>
              <w:spacing w:before="341" w:line="219" w:lineRule="auto"/>
              <w:jc w:val="center"/>
              <w:rPr>
                <w:rFonts w:ascii="宋体" w:hAnsi="宋体" w:eastAsia="宋体" w:cs="宋体"/>
                <w:sz w:val="31"/>
                <w:szCs w:val="31"/>
              </w:rPr>
            </w:pPr>
            <w:r>
              <w:rPr>
                <w:rFonts w:ascii="宋体" w:hAnsi="宋体" w:eastAsia="宋体" w:cs="宋体"/>
                <w:b/>
                <w:bCs/>
                <w:spacing w:val="-1"/>
                <w:sz w:val="31"/>
                <w:szCs w:val="31"/>
              </w:rPr>
              <w:t>事项依据</w:t>
            </w:r>
          </w:p>
        </w:tc>
        <w:tc>
          <w:tcPr>
            <w:tcW w:w="1845" w:type="dxa"/>
            <w:vAlign w:val="top"/>
          </w:tcPr>
          <w:p w14:paraId="4B07A352">
            <w:pPr>
              <w:pStyle w:val="8"/>
              <w:spacing w:line="241" w:lineRule="auto"/>
            </w:pPr>
          </w:p>
          <w:p w14:paraId="6D3F28C5">
            <w:pPr>
              <w:spacing w:before="100" w:line="219" w:lineRule="auto"/>
              <w:ind w:left="361"/>
              <w:rPr>
                <w:rFonts w:ascii="宋体" w:hAnsi="宋体" w:eastAsia="宋体" w:cs="宋体"/>
                <w:sz w:val="31"/>
                <w:szCs w:val="31"/>
              </w:rPr>
            </w:pPr>
            <w:r>
              <w:rPr>
                <w:rFonts w:ascii="宋体" w:hAnsi="宋体" w:eastAsia="宋体" w:cs="宋体"/>
                <w:b/>
                <w:bCs/>
                <w:spacing w:val="-3"/>
                <w:sz w:val="31"/>
                <w:szCs w:val="31"/>
              </w:rPr>
              <w:t>责任主体</w:t>
            </w:r>
          </w:p>
        </w:tc>
        <w:tc>
          <w:tcPr>
            <w:tcW w:w="1853" w:type="dxa"/>
            <w:vAlign w:val="top"/>
          </w:tcPr>
          <w:p w14:paraId="17133CB0">
            <w:pPr>
              <w:pStyle w:val="8"/>
              <w:spacing w:line="242" w:lineRule="auto"/>
            </w:pPr>
          </w:p>
          <w:p w14:paraId="1D38AB84">
            <w:pPr>
              <w:spacing w:before="100" w:line="220" w:lineRule="auto"/>
              <w:ind w:left="382"/>
              <w:rPr>
                <w:rFonts w:ascii="宋体" w:hAnsi="宋体" w:eastAsia="宋体" w:cs="宋体"/>
                <w:sz w:val="31"/>
                <w:szCs w:val="31"/>
              </w:rPr>
            </w:pPr>
            <w:r>
              <w:rPr>
                <w:rFonts w:ascii="宋体" w:hAnsi="宋体" w:eastAsia="宋体" w:cs="宋体"/>
                <w:b/>
                <w:bCs/>
                <w:spacing w:val="-3"/>
                <w:sz w:val="31"/>
                <w:szCs w:val="31"/>
              </w:rPr>
              <w:t>实施主体</w:t>
            </w:r>
          </w:p>
        </w:tc>
        <w:tc>
          <w:tcPr>
            <w:tcW w:w="1094" w:type="dxa"/>
            <w:vAlign w:val="top"/>
          </w:tcPr>
          <w:p w14:paraId="1464BF76">
            <w:pPr>
              <w:pStyle w:val="8"/>
              <w:spacing w:line="242" w:lineRule="auto"/>
            </w:pPr>
          </w:p>
          <w:p w14:paraId="54240FCF">
            <w:pPr>
              <w:spacing w:before="101" w:line="221" w:lineRule="auto"/>
              <w:ind w:left="243"/>
              <w:rPr>
                <w:rFonts w:ascii="宋体" w:hAnsi="宋体" w:eastAsia="宋体" w:cs="宋体"/>
                <w:sz w:val="31"/>
                <w:szCs w:val="31"/>
              </w:rPr>
            </w:pPr>
            <w:r>
              <w:rPr>
                <w:rFonts w:ascii="宋体" w:hAnsi="宋体" w:eastAsia="宋体" w:cs="宋体"/>
                <w:b/>
                <w:bCs/>
                <w:sz w:val="31"/>
                <w:szCs w:val="31"/>
              </w:rPr>
              <w:t>备注</w:t>
            </w:r>
          </w:p>
        </w:tc>
      </w:tr>
      <w:tr w14:paraId="31E82E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64121269">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w:t>
            </w:r>
          </w:p>
        </w:tc>
        <w:tc>
          <w:tcPr>
            <w:tcW w:w="2574" w:type="dxa"/>
            <w:vAlign w:val="center"/>
          </w:tcPr>
          <w:p w14:paraId="7B5DF6FE">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宗教活动场所设立审批</w:t>
            </w:r>
          </w:p>
        </w:tc>
        <w:tc>
          <w:tcPr>
            <w:tcW w:w="1605" w:type="dxa"/>
            <w:vAlign w:val="center"/>
          </w:tcPr>
          <w:p w14:paraId="67DA2B74">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1FD287C9">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《宗教事务条例》第二十一条 筹备设立宗教活动场所，由宗教团体向拟设立的宗教活动场所所在地的县级人民政府宗教事务部门提出申请。县级人民政府宗教事务部门应当自收到申请之日起30日内提出审核意见，报设区的市级人民政府宗教事务本部门。 设区的市级人民政府宗教事务部门应当自收到县级人民政府宗教事务部门报送的材料之日起30日内，对申请设立其他固定宗教活动场所的，作出批准或者不予批准的决定；对申请设立寺观教堂的，提出审核意见，报省、自治区、直辖市人民政府宗教事务部门审批。 省、自治区、直辖市人民政府宗教事务部门应当自收到设区的市级人民政府宗教事务部门报送的材料之日起30日内，作出批准或者不予批准的决定。宗教活动场所的设立申请获批准后，方可办理该宗教活动场所的筹建事项。</w:t>
            </w:r>
          </w:p>
        </w:tc>
        <w:tc>
          <w:tcPr>
            <w:tcW w:w="1845" w:type="dxa"/>
            <w:vAlign w:val="center"/>
          </w:tcPr>
          <w:p w14:paraId="18EF69B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19AB71E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6DEBCB68">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39A3DB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7C334E24">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2</w:t>
            </w:r>
          </w:p>
        </w:tc>
        <w:tc>
          <w:tcPr>
            <w:tcW w:w="2574" w:type="dxa"/>
            <w:vAlign w:val="center"/>
          </w:tcPr>
          <w:p w14:paraId="5769F6D1">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宗教活动场所扩建审批</w:t>
            </w:r>
          </w:p>
        </w:tc>
        <w:tc>
          <w:tcPr>
            <w:tcW w:w="1605" w:type="dxa"/>
            <w:vAlign w:val="center"/>
          </w:tcPr>
          <w:p w14:paraId="0094BE1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7AF09002">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240" w:lineRule="auto"/>
              <w:ind w:right="0"/>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第二十一条　筹备设立宗教活动场所，由宗教团体向拟设立的宗教活动场所所在地的县级人民政府宗教事务部门提出申请。县级人民政府宗教事务部门应当自收到申请之日起30日内提出审核意见，报设区的市级人民政府宗教事务部门。设区的市级人民政府宗教事务部门应当自收到县级人民政府宗教事务部门报送的材料之日起30日内，对申请设立其他固定宗教活动处所的，作出批准或者不予批准的决定；对申请设立寺观教堂的，提出审核意见，报省、自治区、直辖市人民政府宗教事务部门审批。省、自治区、直辖市人民政府宗教事务部门应当自收到设区的市级人民政府宗教事务部门报送的材料之日起30日内，作出批准或者不予批准的决定。宗教活动场所的设立申请获批准后，方可办理该宗教活动场所的筹建事项。</w:t>
            </w:r>
          </w:p>
        </w:tc>
        <w:tc>
          <w:tcPr>
            <w:tcW w:w="1845" w:type="dxa"/>
            <w:vAlign w:val="center"/>
          </w:tcPr>
          <w:p w14:paraId="48D0914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5A8A61C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021A4172">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18FB8C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3F281A95">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3</w:t>
            </w:r>
          </w:p>
        </w:tc>
        <w:tc>
          <w:tcPr>
            <w:tcW w:w="2574" w:type="dxa"/>
            <w:vAlign w:val="center"/>
          </w:tcPr>
          <w:p w14:paraId="63F715E7">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宗教活动场所异地重建审批</w:t>
            </w:r>
          </w:p>
        </w:tc>
        <w:tc>
          <w:tcPr>
            <w:tcW w:w="1605" w:type="dxa"/>
            <w:vAlign w:val="center"/>
          </w:tcPr>
          <w:p w14:paraId="7D44BC4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1853441E">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val="0"/>
              <w:wordWrap/>
              <w:overflowPunct/>
              <w:topLinePunct w:val="0"/>
              <w:autoSpaceDE w:val="0"/>
              <w:autoSpaceDN w:val="0"/>
              <w:bidi w:val="0"/>
              <w:adjustRightInd w:val="0"/>
              <w:snapToGrid w:val="0"/>
              <w:spacing w:before="0" w:beforeAutospacing="0" w:after="0" w:afterAutospacing="0" w:line="240" w:lineRule="auto"/>
              <w:ind w:right="0"/>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第二十一条　筹备设立宗教活动场所，由宗教团体向拟设立的宗教活动场所所在地的县级人民政府宗教事务部门提出申请。县级人民政府宗教事务部门应当自收到申请之日起30日内提出审核意见，报设区的市级人民政府宗教事务部门。设区的市级人民政府宗教事务部门应当自收到县级人民政府宗教事务部门报送的材料之日起30日内，对申请设立其他固定宗教活动处所的，作出批准或者不予批准的决定；对申请设立寺观教堂的，提出审核意见，报省、自治区、直辖市人民政府宗教事务部门审批。省、自治区、直辖市人民政府宗教事务部门应当自收到设区的市级人民政府宗教事务部门报送的材料之日起30日内，作出批准或者不予批准的决定。宗教活动场所的设立申请获批准后，方可办理该宗教活动场所的筹建事项。</w:t>
            </w:r>
          </w:p>
        </w:tc>
        <w:tc>
          <w:tcPr>
            <w:tcW w:w="1845" w:type="dxa"/>
            <w:vAlign w:val="center"/>
          </w:tcPr>
          <w:p w14:paraId="3C85BC21">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0C9D5CC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2CF3F148">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5AD2E9C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72E37CF9">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4</w:t>
            </w:r>
          </w:p>
        </w:tc>
        <w:tc>
          <w:tcPr>
            <w:tcW w:w="2574" w:type="dxa"/>
            <w:vAlign w:val="center"/>
          </w:tcPr>
          <w:p w14:paraId="5C60DB73">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筹备设立宗教活动场所审批</w:t>
            </w:r>
          </w:p>
        </w:tc>
        <w:tc>
          <w:tcPr>
            <w:tcW w:w="1605" w:type="dxa"/>
            <w:vAlign w:val="center"/>
          </w:tcPr>
          <w:p w14:paraId="361D0E9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5DCC24FA">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《宗教事务条例》第二十一条 筹备设立宗教活动场所，由宗教团体向拟设立的宗教活动场所所在地的县级人民政府宗教事务部门提出申请。县级人民政府宗教事务部门应当自收到申请之日起30日内提出审核意见，报设区的市级人民政府宗教事务本部门。 设区的市级人民政府宗教事务部门应当自收到县级人民政府宗教事务部门报送的材料之日起30日内，对申请设立其他固定宗教活动场所的，作出批准或者不予批准的决定；对申请设立寺观教堂的，提出审核意见，报省、自治区、直辖市人民政府宗教事务部门审批。 省、自治区、直辖市人民政府宗教事务部门应当自收到设区的市级人民政府宗教事务部门报送的材料之日起30日内，作出批准或者不予批准的决定。宗教活动场所的设立申请获批准后，方可办理该宗教活动场所的筹建事项。</w:t>
            </w:r>
          </w:p>
        </w:tc>
        <w:tc>
          <w:tcPr>
            <w:tcW w:w="1845" w:type="dxa"/>
            <w:vAlign w:val="center"/>
          </w:tcPr>
          <w:p w14:paraId="597EC22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0BC1C735">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4CCD81C9">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6AD2DE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1A99098F">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5</w:t>
            </w:r>
          </w:p>
        </w:tc>
        <w:tc>
          <w:tcPr>
            <w:tcW w:w="2574" w:type="dxa"/>
            <w:vAlign w:val="center"/>
          </w:tcPr>
          <w:p w14:paraId="68280C52">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在宗教活动场所内改建或者新建建筑物审批</w:t>
            </w:r>
          </w:p>
        </w:tc>
        <w:tc>
          <w:tcPr>
            <w:tcW w:w="1605" w:type="dxa"/>
            <w:vAlign w:val="center"/>
          </w:tcPr>
          <w:p w14:paraId="78D7C530">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6C4177F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第三十三条</w:t>
            </w:r>
            <w:r>
              <w:rPr>
                <w:rFonts w:hint="eastAsia" w:ascii="仿宋" w:hAnsi="仿宋" w:eastAsia="仿宋" w:cs="仿宋"/>
                <w:b w:val="0"/>
                <w:bCs w:val="0"/>
                <w:i w:val="0"/>
                <w:iCs w:val="0"/>
                <w:caps w:val="0"/>
                <w:color w:val="auto"/>
                <w:spacing w:val="0"/>
                <w:sz w:val="24"/>
                <w:szCs w:val="24"/>
                <w:shd w:val="clear" w:fill="FFFFFF"/>
                <w:lang w:val="en-US" w:eastAsia="zh-CN"/>
              </w:rPr>
              <w:t xml:space="preserve"> </w:t>
            </w:r>
            <w:r>
              <w:rPr>
                <w:rFonts w:hint="eastAsia" w:ascii="仿宋" w:hAnsi="仿宋" w:eastAsia="仿宋" w:cs="仿宋"/>
                <w:b w:val="0"/>
                <w:bCs w:val="0"/>
                <w:i w:val="0"/>
                <w:iCs w:val="0"/>
                <w:caps w:val="0"/>
                <w:color w:val="auto"/>
                <w:spacing w:val="0"/>
                <w:sz w:val="24"/>
                <w:szCs w:val="24"/>
                <w:shd w:val="clear" w:fill="FFFFFF"/>
              </w:rPr>
              <w:t>第一款 在宗教活动场所内改建或者新建建筑物，应当经所在地县级以上地方人民政府宗教事务部门批准后，依法办理规划、建设等手续。</w:t>
            </w:r>
          </w:p>
        </w:tc>
        <w:tc>
          <w:tcPr>
            <w:tcW w:w="1845" w:type="dxa"/>
            <w:vAlign w:val="center"/>
          </w:tcPr>
          <w:p w14:paraId="12F1301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23A76142">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31B585E9">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57530F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514038D2">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6</w:t>
            </w:r>
          </w:p>
        </w:tc>
        <w:tc>
          <w:tcPr>
            <w:tcW w:w="2574" w:type="dxa"/>
            <w:vAlign w:val="center"/>
          </w:tcPr>
          <w:p w14:paraId="7D285284">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宗教活动场所登记审批</w:t>
            </w:r>
          </w:p>
        </w:tc>
        <w:tc>
          <w:tcPr>
            <w:tcW w:w="1605" w:type="dxa"/>
            <w:vAlign w:val="center"/>
          </w:tcPr>
          <w:p w14:paraId="6FA4D8A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22ABB1E4">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第二十二条 宗教活动场所经批准筹备并建设完工后，应当向所在地的县级人民政府宗教事务部门申请登记。县级人民政府宗教事务部门应当自收到申请之日起30日内对该宗教活动场所的管理组织、规章制度建设等情况进行审核，对符合条件的予以登记，发给《宗教活动场所登记证》。 </w:t>
            </w:r>
          </w:p>
        </w:tc>
        <w:tc>
          <w:tcPr>
            <w:tcW w:w="1845" w:type="dxa"/>
            <w:vAlign w:val="center"/>
          </w:tcPr>
          <w:p w14:paraId="42BD6E2B">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1C15630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4BBB36EF">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62A8C2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1E135BD4">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7</w:t>
            </w:r>
          </w:p>
        </w:tc>
        <w:tc>
          <w:tcPr>
            <w:tcW w:w="2574" w:type="dxa"/>
            <w:vAlign w:val="center"/>
          </w:tcPr>
          <w:p w14:paraId="66325790">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i w:val="0"/>
                <w:iCs w:val="0"/>
                <w:caps w:val="0"/>
                <w:color w:val="auto"/>
                <w:spacing w:val="0"/>
                <w:sz w:val="24"/>
                <w:szCs w:val="24"/>
                <w:shd w:val="clear" w:fill="FFFFFF"/>
              </w:rPr>
            </w:pPr>
            <w:r>
              <w:rPr>
                <w:rFonts w:hint="eastAsia" w:ascii="仿宋" w:hAnsi="仿宋" w:eastAsia="仿宋" w:cs="仿宋"/>
                <w:b w:val="0"/>
                <w:bCs w:val="0"/>
                <w:i w:val="0"/>
                <w:iCs w:val="0"/>
                <w:caps w:val="0"/>
                <w:color w:val="auto"/>
                <w:spacing w:val="0"/>
                <w:sz w:val="24"/>
                <w:szCs w:val="24"/>
                <w:shd w:val="clear" w:fill="FFFFFF"/>
              </w:rPr>
              <w:t>宗教活动场所变更登记审批</w:t>
            </w:r>
          </w:p>
        </w:tc>
        <w:tc>
          <w:tcPr>
            <w:tcW w:w="1605" w:type="dxa"/>
            <w:vAlign w:val="center"/>
          </w:tcPr>
          <w:p w14:paraId="2DA5F79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7957ECE6">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第二十四条　宗教活动场所终止或者变更登记内容的，应当到原登记管理机关办理相应的注销或者变更登记手续。</w:t>
            </w:r>
          </w:p>
        </w:tc>
        <w:tc>
          <w:tcPr>
            <w:tcW w:w="1845" w:type="dxa"/>
            <w:vAlign w:val="center"/>
          </w:tcPr>
          <w:p w14:paraId="720FC75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42764E4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0439C62C">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5D61DCB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5495F136">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8</w:t>
            </w:r>
          </w:p>
        </w:tc>
        <w:tc>
          <w:tcPr>
            <w:tcW w:w="2574" w:type="dxa"/>
            <w:vAlign w:val="center"/>
          </w:tcPr>
          <w:p w14:paraId="7CF396B5">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i w:val="0"/>
                <w:iCs w:val="0"/>
                <w:caps w:val="0"/>
                <w:color w:val="auto"/>
                <w:spacing w:val="0"/>
                <w:sz w:val="24"/>
                <w:szCs w:val="24"/>
                <w:shd w:val="clear" w:fill="FFFFFF"/>
              </w:rPr>
            </w:pPr>
            <w:r>
              <w:rPr>
                <w:rFonts w:hint="eastAsia" w:ascii="仿宋" w:hAnsi="仿宋" w:eastAsia="仿宋" w:cs="仿宋"/>
                <w:b w:val="0"/>
                <w:bCs w:val="0"/>
                <w:i w:val="0"/>
                <w:iCs w:val="0"/>
                <w:caps w:val="0"/>
                <w:color w:val="auto"/>
                <w:spacing w:val="0"/>
                <w:sz w:val="24"/>
                <w:szCs w:val="24"/>
                <w:shd w:val="clear" w:fill="FFFFFF"/>
              </w:rPr>
              <w:t>宗教活动场所注销审批</w:t>
            </w:r>
          </w:p>
        </w:tc>
        <w:tc>
          <w:tcPr>
            <w:tcW w:w="1605" w:type="dxa"/>
            <w:vAlign w:val="center"/>
          </w:tcPr>
          <w:p w14:paraId="2DAE8088">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1785237E">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第二十四条 宗教活动场所终止或者变更登记内容的，应当到原登记管理机关办理相应的注销或者变更登记手续。</w:t>
            </w:r>
          </w:p>
        </w:tc>
        <w:tc>
          <w:tcPr>
            <w:tcW w:w="1845" w:type="dxa"/>
            <w:vAlign w:val="center"/>
          </w:tcPr>
          <w:p w14:paraId="2B163D16">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4ACCE40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074C8AF0">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1FC2F9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6FAD97AA">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9</w:t>
            </w:r>
          </w:p>
        </w:tc>
        <w:tc>
          <w:tcPr>
            <w:tcW w:w="2574" w:type="dxa"/>
            <w:vAlign w:val="center"/>
          </w:tcPr>
          <w:p w14:paraId="48827CD7">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i w:val="0"/>
                <w:iCs w:val="0"/>
                <w:caps w:val="0"/>
                <w:color w:val="auto"/>
                <w:spacing w:val="0"/>
                <w:sz w:val="24"/>
                <w:szCs w:val="24"/>
                <w:shd w:val="clear" w:fill="FFFFFF"/>
              </w:rPr>
            </w:pPr>
            <w:r>
              <w:rPr>
                <w:rFonts w:hint="eastAsia" w:ascii="仿宋" w:hAnsi="仿宋" w:eastAsia="仿宋" w:cs="仿宋"/>
                <w:b w:val="0"/>
                <w:bCs w:val="0"/>
                <w:i w:val="0"/>
                <w:iCs w:val="0"/>
                <w:caps w:val="0"/>
                <w:color w:val="auto"/>
                <w:spacing w:val="0"/>
                <w:sz w:val="24"/>
                <w:szCs w:val="24"/>
                <w:shd w:val="clear" w:fill="FFFFFF"/>
              </w:rPr>
              <w:t>宗教活动场所法人登记审批</w:t>
            </w:r>
          </w:p>
        </w:tc>
        <w:tc>
          <w:tcPr>
            <w:tcW w:w="1605" w:type="dxa"/>
            <w:vAlign w:val="center"/>
          </w:tcPr>
          <w:p w14:paraId="5F3F14D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73F516B8">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第二十三条　宗教活动场所符合法人条件的，经所在地宗教团体同意，并报县级人民政府宗教事务部门审查同意后，可以到民政部门办理法人登记。</w:t>
            </w:r>
          </w:p>
        </w:tc>
        <w:tc>
          <w:tcPr>
            <w:tcW w:w="1845" w:type="dxa"/>
            <w:vAlign w:val="center"/>
          </w:tcPr>
          <w:p w14:paraId="7D6757DD">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41D839AF">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23C92099">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29E630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60482D97">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10</w:t>
            </w:r>
          </w:p>
        </w:tc>
        <w:tc>
          <w:tcPr>
            <w:tcW w:w="2574" w:type="dxa"/>
            <w:vAlign w:val="center"/>
          </w:tcPr>
          <w:p w14:paraId="35332770">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i w:val="0"/>
                <w:iCs w:val="0"/>
                <w:caps w:val="0"/>
                <w:color w:val="auto"/>
                <w:spacing w:val="0"/>
                <w:sz w:val="24"/>
                <w:szCs w:val="24"/>
                <w:shd w:val="clear" w:fill="FFFFFF"/>
              </w:rPr>
            </w:pPr>
            <w:r>
              <w:rPr>
                <w:rFonts w:hint="eastAsia" w:ascii="仿宋" w:hAnsi="仿宋" w:eastAsia="仿宋" w:cs="仿宋"/>
                <w:b w:val="0"/>
                <w:bCs w:val="0"/>
                <w:i w:val="0"/>
                <w:iCs w:val="0"/>
                <w:caps w:val="0"/>
                <w:color w:val="auto"/>
                <w:spacing w:val="0"/>
                <w:sz w:val="24"/>
                <w:szCs w:val="24"/>
                <w:shd w:val="clear" w:fill="FFFFFF"/>
              </w:rPr>
              <w:t>宗教临时活动地点审批</w:t>
            </w:r>
          </w:p>
        </w:tc>
        <w:tc>
          <w:tcPr>
            <w:tcW w:w="1605" w:type="dxa"/>
            <w:vAlign w:val="center"/>
          </w:tcPr>
          <w:p w14:paraId="095E3F8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32B80993">
            <w:pPr>
              <w:pStyle w:val="5"/>
              <w:keepNext w:val="0"/>
              <w:keepLines w:val="0"/>
              <w:pageBreakBefore w:val="0"/>
              <w:widowControl/>
              <w:suppressLineNumbers w:val="0"/>
              <w:pBdr>
                <w:top w:val="none" w:color="auto" w:sz="0" w:space="0"/>
                <w:left w:val="none" w:color="auto" w:sz="0" w:space="0"/>
                <w:bottom w:val="none" w:color="auto" w:sz="0" w:space="0"/>
                <w:right w:val="none" w:color="auto" w:sz="0" w:space="0"/>
              </w:pBdr>
              <w:kinsoku w:val="0"/>
              <w:wordWrap/>
              <w:overflowPunct/>
              <w:topLinePunct w:val="0"/>
              <w:autoSpaceDE w:val="0"/>
              <w:autoSpaceDN w:val="0"/>
              <w:bidi w:val="0"/>
              <w:adjustRightInd w:val="0"/>
              <w:snapToGrid w:val="0"/>
              <w:spacing w:before="0" w:beforeAutospacing="0" w:after="0" w:afterAutospacing="0" w:line="240" w:lineRule="auto"/>
              <w:ind w:right="0"/>
              <w:rPr>
                <w:rStyle w:val="10"/>
                <w:rFonts w:hint="eastAsia" w:ascii="仿宋" w:hAnsi="仿宋" w:eastAsia="仿宋" w:cs="仿宋"/>
                <w:b w:val="0"/>
                <w:bCs w:val="0"/>
                <w:snapToGrid w:val="0"/>
                <w:color w:val="auto"/>
                <w:sz w:val="24"/>
                <w:szCs w:val="24"/>
                <w:lang w:val="en-US" w:eastAsia="zh-CN" w:bidi="ar"/>
              </w:rPr>
            </w:pPr>
            <w:r>
              <w:rPr>
                <w:rStyle w:val="10"/>
                <w:rFonts w:hint="eastAsia" w:ascii="仿宋" w:hAnsi="仿宋" w:eastAsia="仿宋" w:cs="仿宋"/>
                <w:b w:val="0"/>
                <w:bCs w:val="0"/>
                <w:snapToGrid w:val="0"/>
                <w:color w:val="auto"/>
                <w:sz w:val="24"/>
                <w:szCs w:val="24"/>
                <w:lang w:val="en-US" w:eastAsia="zh-CN" w:bidi="ar"/>
              </w:rPr>
              <w:t>《宗教事务条例》</w:t>
            </w:r>
            <w:r>
              <w:rPr>
                <w:rFonts w:hint="eastAsia" w:ascii="仿宋" w:hAnsi="仿宋" w:eastAsia="仿宋" w:cs="仿宋"/>
                <w:b w:val="0"/>
                <w:bCs w:val="0"/>
                <w:i w:val="0"/>
                <w:iCs w:val="0"/>
                <w:caps w:val="0"/>
                <w:color w:val="auto"/>
                <w:spacing w:val="0"/>
                <w:sz w:val="24"/>
                <w:szCs w:val="24"/>
                <w:shd w:val="clear" w:fill="FFFFFF"/>
              </w:rPr>
              <w:t>第三十五条　信教公民有进行经常性集体宗教活动需要，尚不具备条件申请设立宗教活动场所的，由信教公民代表向县级人民政府宗教事务部门提出申请，县级人民政府宗教事务部门征求所在地宗教团体和乡级人民政府意见后，可以为其指定临时活动地点。在县级人民政府宗教事务部门指导下，所在地乡级人民政府对临时活动地点的活动进行监管。具备设立宗教活动场所条件后，办理宗教活动场所设立审批和登记手续。临时活动地点的宗教活动应当符合本条例的相关规定。</w:t>
            </w:r>
          </w:p>
        </w:tc>
        <w:tc>
          <w:tcPr>
            <w:tcW w:w="1845" w:type="dxa"/>
            <w:vAlign w:val="center"/>
          </w:tcPr>
          <w:p w14:paraId="6B2A8D03">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4EF8D5D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37B877EB">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12BAE5E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36E151D7">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11</w:t>
            </w:r>
          </w:p>
        </w:tc>
        <w:tc>
          <w:tcPr>
            <w:tcW w:w="2574" w:type="dxa"/>
            <w:vAlign w:val="center"/>
          </w:tcPr>
          <w:p w14:paraId="548A2A63">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i w:val="0"/>
                <w:iCs w:val="0"/>
                <w:caps w:val="0"/>
                <w:color w:val="auto"/>
                <w:spacing w:val="0"/>
                <w:sz w:val="24"/>
                <w:szCs w:val="24"/>
                <w:shd w:val="clear" w:fill="FFFFFF"/>
              </w:rPr>
            </w:pPr>
            <w:r>
              <w:rPr>
                <w:rFonts w:hint="eastAsia" w:ascii="仿宋" w:hAnsi="仿宋" w:eastAsia="仿宋" w:cs="仿宋"/>
                <w:b w:val="0"/>
                <w:bCs w:val="0"/>
                <w:i w:val="0"/>
                <w:iCs w:val="0"/>
                <w:caps w:val="0"/>
                <w:color w:val="auto"/>
                <w:spacing w:val="0"/>
                <w:sz w:val="24"/>
                <w:szCs w:val="24"/>
                <w:shd w:val="clear" w:fill="FFFFFF"/>
              </w:rPr>
              <w:t>变更民族成份初审</w:t>
            </w:r>
          </w:p>
        </w:tc>
        <w:tc>
          <w:tcPr>
            <w:tcW w:w="1605" w:type="dxa"/>
            <w:vAlign w:val="center"/>
          </w:tcPr>
          <w:p w14:paraId="1EA620C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3B4CD580">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Fonts w:hint="eastAsia" w:ascii="仿宋" w:hAnsi="仿宋" w:eastAsia="仿宋" w:cs="仿宋"/>
                <w:b w:val="0"/>
                <w:bCs w:val="0"/>
                <w:i w:val="0"/>
                <w:iCs w:val="0"/>
                <w:caps w:val="0"/>
                <w:color w:val="auto"/>
                <w:spacing w:val="0"/>
                <w:sz w:val="24"/>
                <w:szCs w:val="24"/>
                <w:shd w:val="clear" w:fill="FFFFFF"/>
              </w:rPr>
              <w:t>《中国公民民族成份登记管理办法》第十一条</w:t>
            </w:r>
            <w:r>
              <w:rPr>
                <w:rFonts w:hint="eastAsia" w:ascii="仿宋" w:hAnsi="仿宋" w:eastAsia="仿宋" w:cs="仿宋"/>
                <w:b w:val="0"/>
                <w:bCs w:val="0"/>
                <w:i w:val="0"/>
                <w:iCs w:val="0"/>
                <w:caps w:val="0"/>
                <w:color w:val="auto"/>
                <w:spacing w:val="0"/>
                <w:sz w:val="24"/>
                <w:szCs w:val="24"/>
                <w:shd w:val="clear" w:fill="FFFFFF"/>
                <w:lang w:val="en-US" w:eastAsia="zh-CN"/>
              </w:rPr>
              <w:t xml:space="preserve"> </w:t>
            </w:r>
            <w:r>
              <w:rPr>
                <w:rFonts w:hint="eastAsia" w:ascii="仿宋" w:hAnsi="仿宋" w:eastAsia="仿宋" w:cs="仿宋"/>
                <w:b w:val="0"/>
                <w:bCs w:val="0"/>
                <w:i w:val="0"/>
                <w:iCs w:val="0"/>
                <w:caps w:val="0"/>
                <w:color w:val="auto"/>
                <w:spacing w:val="0"/>
                <w:sz w:val="24"/>
                <w:szCs w:val="24"/>
                <w:shd w:val="clear" w:fill="FFFFFF"/>
              </w:rPr>
              <w:t>申请变更民族成份，按照下列程序办理：（一）申请人向户籍所在地的县级人民政府民族事务部门提出申请；（二）县级人民政府民族事务部门对变更申请提出初审意见，对不符合条件的申请予以退回，并书面说明不予受理的理由；对符合条件的申请，自受理之日十个工作日内报上一级人民政府民族事务部门审批。对于十个工作日内不能提出初审意见的，经县级人民政府民族事务部门负责人批准，可以延长十个工作日；（三）上一级人民政府民族事务部门应当在收到审批申请之日起的十个工作日内，出具书面审批意见，并反馈给县级人民政府民族事务部门；（四）县级人民政府民族事务部门应当在收到审批意见的十个工作日内，将审批意见告知申请人。审批同意的，并将审批意见、公民申请书及相关证明材料抄送县级人民政府公安部门；（五）公安部门应当依据市级人民政府民族事务部门的审批意见，严格按照公民户籍主项信息变更的管理程序，在十五个工作日内办理公民民族成份变更登记。</w:t>
            </w:r>
          </w:p>
        </w:tc>
        <w:tc>
          <w:tcPr>
            <w:tcW w:w="1845" w:type="dxa"/>
            <w:vAlign w:val="center"/>
          </w:tcPr>
          <w:p w14:paraId="2608196A">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2380E99C">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3948349F">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r w14:paraId="49B6A9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jc w:val="center"/>
        </w:trPr>
        <w:tc>
          <w:tcPr>
            <w:tcW w:w="874" w:type="dxa"/>
            <w:vAlign w:val="center"/>
          </w:tcPr>
          <w:p w14:paraId="1CA7DD35">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12</w:t>
            </w:r>
          </w:p>
        </w:tc>
        <w:tc>
          <w:tcPr>
            <w:tcW w:w="2574" w:type="dxa"/>
            <w:vAlign w:val="center"/>
          </w:tcPr>
          <w:p w14:paraId="3E094AB1">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i w:val="0"/>
                <w:iCs w:val="0"/>
                <w:caps w:val="0"/>
                <w:color w:val="auto"/>
                <w:spacing w:val="0"/>
                <w:sz w:val="24"/>
                <w:szCs w:val="24"/>
                <w:shd w:val="clear" w:fill="F4F4F4"/>
              </w:rPr>
            </w:pPr>
            <w:r>
              <w:rPr>
                <w:rFonts w:hint="eastAsia" w:ascii="仿宋" w:hAnsi="仿宋" w:eastAsia="仿宋" w:cs="仿宋"/>
                <w:b w:val="0"/>
                <w:bCs w:val="0"/>
                <w:i w:val="0"/>
                <w:iCs w:val="0"/>
                <w:caps w:val="0"/>
                <w:color w:val="auto"/>
                <w:spacing w:val="15"/>
                <w:sz w:val="24"/>
                <w:szCs w:val="24"/>
              </w:rPr>
              <w:t>清真食品的名称、标识、标签、说明书和包装上的字样、图像、图案备案</w:t>
            </w:r>
          </w:p>
        </w:tc>
        <w:tc>
          <w:tcPr>
            <w:tcW w:w="1605" w:type="dxa"/>
            <w:vAlign w:val="center"/>
          </w:tcPr>
          <w:p w14:paraId="7F286AD4">
            <w:pPr>
              <w:pStyle w:val="8"/>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i w:val="0"/>
                <w:iCs w:val="0"/>
                <w:caps w:val="0"/>
                <w:color w:val="auto"/>
                <w:spacing w:val="0"/>
                <w:sz w:val="24"/>
                <w:szCs w:val="24"/>
                <w:shd w:val="clear" w:fill="FFFFFF"/>
              </w:rPr>
              <w:t>行政许可</w:t>
            </w:r>
          </w:p>
        </w:tc>
        <w:tc>
          <w:tcPr>
            <w:tcW w:w="4725" w:type="dxa"/>
            <w:vAlign w:val="center"/>
          </w:tcPr>
          <w:p w14:paraId="71CB72D5">
            <w:pPr>
              <w:keepNext w:val="0"/>
              <w:keepLines w:val="0"/>
              <w:pageBreakBefore w:val="0"/>
              <w:widowControl/>
              <w:suppressLineNumbers w:val="0"/>
              <w:kinsoku w:val="0"/>
              <w:wordWrap/>
              <w:overflowPunct/>
              <w:topLinePunct w:val="0"/>
              <w:autoSpaceDE w:val="0"/>
              <w:autoSpaceDN w:val="0"/>
              <w:bidi w:val="0"/>
              <w:adjustRightInd w:val="0"/>
              <w:snapToGrid w:val="0"/>
              <w:spacing w:line="240" w:lineRule="auto"/>
              <w:jc w:val="center"/>
              <w:textAlignment w:val="center"/>
              <w:rPr>
                <w:rStyle w:val="10"/>
                <w:rFonts w:hint="eastAsia" w:ascii="仿宋" w:hAnsi="仿宋" w:eastAsia="仿宋" w:cs="仿宋"/>
                <w:b w:val="0"/>
                <w:bCs w:val="0"/>
                <w:snapToGrid w:val="0"/>
                <w:color w:val="auto"/>
                <w:sz w:val="24"/>
                <w:szCs w:val="24"/>
                <w:lang w:val="en-US" w:eastAsia="zh-CN" w:bidi="ar"/>
              </w:rPr>
            </w:pPr>
            <w:r>
              <w:rPr>
                <w:rFonts w:hint="eastAsia" w:ascii="仿宋" w:hAnsi="仿宋" w:eastAsia="仿宋" w:cs="仿宋"/>
                <w:b w:val="0"/>
                <w:bCs w:val="0"/>
                <w:i w:val="0"/>
                <w:iCs w:val="0"/>
                <w:caps w:val="0"/>
                <w:color w:val="auto"/>
                <w:spacing w:val="0"/>
                <w:sz w:val="24"/>
                <w:szCs w:val="24"/>
                <w:shd w:val="clear" w:fill="FFFFFF"/>
              </w:rPr>
              <w:t>《山西省清真食品监督管理条例》第十七条</w:t>
            </w:r>
            <w:r>
              <w:rPr>
                <w:rFonts w:hint="eastAsia" w:ascii="仿宋" w:hAnsi="仿宋" w:eastAsia="仿宋" w:cs="仿宋"/>
                <w:b w:val="0"/>
                <w:bCs w:val="0"/>
                <w:i w:val="0"/>
                <w:iCs w:val="0"/>
                <w:caps w:val="0"/>
                <w:color w:val="auto"/>
                <w:spacing w:val="0"/>
                <w:sz w:val="24"/>
                <w:szCs w:val="24"/>
                <w:shd w:val="clear" w:fill="FFFFFF"/>
                <w:lang w:val="en-US" w:eastAsia="zh-CN"/>
              </w:rPr>
              <w:t xml:space="preserve"> </w:t>
            </w:r>
            <w:r>
              <w:rPr>
                <w:rFonts w:hint="eastAsia" w:ascii="仿宋" w:hAnsi="仿宋" w:eastAsia="仿宋" w:cs="仿宋"/>
                <w:b w:val="0"/>
                <w:bCs w:val="0"/>
                <w:i w:val="0"/>
                <w:iCs w:val="0"/>
                <w:caps w:val="0"/>
                <w:color w:val="auto"/>
                <w:spacing w:val="0"/>
                <w:sz w:val="24"/>
                <w:szCs w:val="24"/>
                <w:shd w:val="clear" w:fill="FFFFFF"/>
              </w:rPr>
              <w:t>清真食品的名称、标识、标签、说明书和包装上不得出现具有清真饮食习惯的少数民族禁忌的内容。生产 经营清真食品的企业和个体工商户，应当将清真食品的名称、标识、标签、说明书和包装上的字样、图像、图案报所在地县级人民政府民族事务行政主管部门备案。禁止将清真食品专用包装用于包装具有清真饮食习惯的少数民族禁忌的食品。</w:t>
            </w:r>
          </w:p>
        </w:tc>
        <w:tc>
          <w:tcPr>
            <w:tcW w:w="1845" w:type="dxa"/>
            <w:vAlign w:val="center"/>
          </w:tcPr>
          <w:p w14:paraId="20C7431E">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853" w:type="dxa"/>
            <w:vAlign w:val="center"/>
          </w:tcPr>
          <w:p w14:paraId="5019C689">
            <w:pPr>
              <w:keepNext w:val="0"/>
              <w:keepLines w:val="0"/>
              <w:pageBreakBefore w:val="0"/>
              <w:widowControl/>
              <w:kinsoku w:val="0"/>
              <w:wordWrap/>
              <w:overflowPunct/>
              <w:topLinePunct w:val="0"/>
              <w:autoSpaceDE w:val="0"/>
              <w:autoSpaceDN w:val="0"/>
              <w:bidi w:val="0"/>
              <w:adjustRightInd w:val="0"/>
              <w:snapToGrid w:val="0"/>
              <w:spacing w:line="240" w:lineRule="auto"/>
              <w:jc w:val="center"/>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宁武县民族宗教事务局</w:t>
            </w:r>
          </w:p>
        </w:tc>
        <w:tc>
          <w:tcPr>
            <w:tcW w:w="1094" w:type="dxa"/>
            <w:vAlign w:val="top"/>
          </w:tcPr>
          <w:p w14:paraId="5CEBF8BA">
            <w:pPr>
              <w:pStyle w:val="8"/>
              <w:keepNext w:val="0"/>
              <w:keepLines w:val="0"/>
              <w:pageBreakBefore w:val="0"/>
              <w:widowControl/>
              <w:kinsoku w:val="0"/>
              <w:wordWrap/>
              <w:overflowPunct/>
              <w:topLinePunct w:val="0"/>
              <w:autoSpaceDE w:val="0"/>
              <w:autoSpaceDN w:val="0"/>
              <w:bidi w:val="0"/>
              <w:adjustRightInd w:val="0"/>
              <w:snapToGrid w:val="0"/>
              <w:spacing w:line="240" w:lineRule="auto"/>
              <w:rPr>
                <w:rFonts w:hint="eastAsia" w:ascii="仿宋" w:hAnsi="仿宋" w:eastAsia="仿宋" w:cs="仿宋"/>
                <w:b w:val="0"/>
                <w:bCs w:val="0"/>
                <w:color w:val="auto"/>
                <w:sz w:val="24"/>
                <w:szCs w:val="24"/>
              </w:rPr>
            </w:pPr>
          </w:p>
        </w:tc>
      </w:tr>
    </w:tbl>
    <w:p w14:paraId="79E84527">
      <w:pPr>
        <w:spacing w:line="62" w:lineRule="exact"/>
      </w:pPr>
    </w:p>
    <w:p w14:paraId="20156B69">
      <w:pPr>
        <w:spacing w:line="62" w:lineRule="exact"/>
        <w:sectPr>
          <w:footerReference r:id="rId5" w:type="default"/>
          <w:pgSz w:w="16820" w:h="11900"/>
          <w:pgMar w:top="1011" w:right="1104" w:bottom="400" w:left="974" w:header="0" w:footer="0" w:gutter="0"/>
          <w:pgNumType w:fmt="decimal"/>
          <w:cols w:equalWidth="0" w:num="1">
            <w:col w:w="14741"/>
          </w:cols>
        </w:sectPr>
      </w:pPr>
    </w:p>
    <w:p w14:paraId="45E0EFE9">
      <w:bookmarkStart w:id="0" w:name="_GoBack"/>
      <w:bookmarkEnd w:id="0"/>
    </w:p>
    <w:sectPr>
      <w:type w:val="continuous"/>
      <w:pgSz w:w="16820" w:h="11900"/>
      <w:pgMar w:top="1011" w:right="1104" w:bottom="400" w:left="974" w:header="0" w:footer="0" w:gutter="0"/>
      <w:pgNumType w:fmt="decimal"/>
      <w:cols w:equalWidth="0" w:num="1">
        <w:col w:w="14741"/>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88392E">
    <w:pPr>
      <w:spacing w:line="14" w:lineRule="auto"/>
      <w:rPr>
        <w:rFonts w:ascii="Arial"/>
        <w:sz w:val="2"/>
      </w:rPr>
    </w:pPr>
    <w:r>
      <w:rPr>
        <w:sz w:val="2"/>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96C789">
                          <w:pPr>
                            <w:pStyle w:val="4"/>
                          </w:pPr>
                          <w:r>
                            <w:t xml:space="preserve">— </w:t>
                          </w:r>
                          <w:r>
                            <w:fldChar w:fldCharType="begin"/>
                          </w:r>
                          <w:r>
                            <w:instrText xml:space="preserve"> PAGE  \* MERGEFORMAT </w:instrText>
                          </w:r>
                          <w:r>
                            <w:fldChar w:fldCharType="separate"/>
                          </w:r>
                          <w:r>
                            <w:t>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A96C789">
                    <w:pPr>
                      <w:pStyle w:val="4"/>
                    </w:pPr>
                    <w:r>
                      <w:t xml:space="preserve">— </w:t>
                    </w:r>
                    <w:r>
                      <w:fldChar w:fldCharType="begin"/>
                    </w:r>
                    <w:r>
                      <w:instrText xml:space="preserve"> PAGE  \* MERGEFORMAT </w:instrText>
                    </w:r>
                    <w:r>
                      <w:fldChar w:fldCharType="separate"/>
                    </w:r>
                    <w:r>
                      <w:t>4</w:t>
                    </w:r>
                    <w:r>
                      <w:fldChar w:fldCharType="end"/>
                    </w:r>
                    <w:r>
                      <w:t xml:space="preserve"> —</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4MDI0NWNmODc5YWU0YTg4YzM0ZGI1Mjk2NTFlNGMifQ=="/>
  </w:docVars>
  <w:rsids>
    <w:rsidRoot w:val="1A941C18"/>
    <w:rsid w:val="0FDF4E93"/>
    <w:rsid w:val="1A941C18"/>
    <w:rsid w:val="1E6E6521"/>
    <w:rsid w:val="1E8F7AEB"/>
    <w:rsid w:val="44210BDB"/>
    <w:rsid w:val="495E6D91"/>
    <w:rsid w:val="69486D3C"/>
    <w:rsid w:val="6C194ED7"/>
    <w:rsid w:val="6E8644CB"/>
    <w:rsid w:val="70086D5E"/>
    <w:rsid w:val="704A1CB4"/>
    <w:rsid w:val="76C729FC"/>
    <w:rsid w:val="76EC4D8A"/>
    <w:rsid w:val="7BDF7E15"/>
    <w:rsid w:val="7FF340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Body Text"/>
    <w:basedOn w:val="1"/>
    <w:semiHidden/>
    <w:qFormat/>
    <w:uiPriority w:val="0"/>
    <w:rPr>
      <w:rFonts w:ascii="仿宋" w:hAnsi="仿宋" w:eastAsia="仿宋" w:cs="仿宋"/>
      <w:sz w:val="35"/>
      <w:szCs w:val="35"/>
      <w:lang w:val="en-US" w:eastAsia="en-US" w:bidi="ar-SA"/>
    </w:rPr>
  </w:style>
  <w:style w:type="paragraph" w:styleId="4">
    <w:name w:val="footer"/>
    <w:basedOn w:val="1"/>
    <w:qFormat/>
    <w:uiPriority w:val="0"/>
    <w:pPr>
      <w:tabs>
        <w:tab w:val="center" w:pos="4153"/>
        <w:tab w:val="right" w:pos="8306"/>
      </w:tabs>
      <w:snapToGrid w:val="0"/>
      <w:jc w:val="left"/>
    </w:pPr>
    <w:rPr>
      <w:sz w:val="18"/>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8">
    <w:name w:val="Table Text"/>
    <w:basedOn w:val="1"/>
    <w:autoRedefine/>
    <w:semiHidden/>
    <w:qFormat/>
    <w:uiPriority w:val="0"/>
    <w:rPr>
      <w:rFonts w:ascii="Arial" w:hAnsi="Arial" w:eastAsia="Arial" w:cs="Arial"/>
      <w:sz w:val="21"/>
      <w:szCs w:val="21"/>
      <w:lang w:val="en-US" w:eastAsia="en-US" w:bidi="ar-SA"/>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character" w:customStyle="1" w:styleId="10">
    <w:name w:val="font11"/>
    <w:basedOn w:val="7"/>
    <w:qFormat/>
    <w:uiPriority w:val="0"/>
    <w:rPr>
      <w:rFonts w:hint="eastAsia" w:ascii="宋体" w:hAnsi="宋体" w:eastAsia="宋体" w:cs="宋体"/>
      <w:color w:val="000000"/>
      <w:sz w:val="22"/>
      <w:szCs w:val="22"/>
      <w:u w:val="none"/>
    </w:rPr>
  </w:style>
  <w:style w:type="character" w:customStyle="1" w:styleId="11">
    <w:name w:val="font21"/>
    <w:basedOn w:val="7"/>
    <w:qFormat/>
    <w:uiPriority w:val="0"/>
    <w:rPr>
      <w:rFonts w:ascii="黑体" w:hAnsi="宋体" w:eastAsia="黑体" w:cs="黑体"/>
      <w:b/>
      <w:bCs/>
      <w:color w:val="000000"/>
      <w:sz w:val="22"/>
      <w:szCs w:val="22"/>
      <w:u w:val="none"/>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3112</Words>
  <Characters>3139</Characters>
  <Lines>0</Lines>
  <Paragraphs>0</Paragraphs>
  <TotalTime>0</TotalTime>
  <ScaleCrop>false</ScaleCrop>
  <LinksUpToDate>false</LinksUpToDate>
  <CharactersWithSpaces>3159</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2024-08-05T08:36:00Z</dcterms:created>
  <dc:creator>1234</dc:creator>
  <cp:lastModifiedBy>Administrator</cp:lastModifiedBy>
  <cp:lastPrinted>2024-08-05T09:23:00Z</cp:lastPrinted>
  <dcterms:modified xsi:type="dcterms:W3CDTF">2024-11-22T03:25:59Z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A7C5C4049E7C424E974E08A2190E17AA_11</vt:lpwstr>
  </property>
</Properties>
</file>