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20" w:firstLineChars="700"/>
        <w:rPr>
          <w:rFonts w:cs="宋体" w:asciiTheme="majorEastAsia" w:hAnsiTheme="majorEastAsia" w:eastAsiaTheme="majorEastAsia"/>
          <w:color w:val="45423F"/>
          <w:sz w:val="36"/>
          <w:szCs w:val="36"/>
        </w:rPr>
      </w:pPr>
      <w:r>
        <w:rPr>
          <w:rFonts w:hint="eastAsia" w:cs="宋体" w:asciiTheme="majorEastAsia" w:hAnsiTheme="majorEastAsia" w:eastAsiaTheme="majorEastAsia"/>
          <w:color w:val="45423F"/>
          <w:sz w:val="36"/>
          <w:szCs w:val="36"/>
        </w:rPr>
        <w:t>拟对建设项目环境影响评价文件作出审批意见的公示</w:t>
      </w:r>
    </w:p>
    <w:tbl>
      <w:tblPr>
        <w:tblStyle w:val="6"/>
        <w:tblpPr w:leftFromText="180" w:rightFromText="180" w:vertAnchor="text" w:horzAnchor="page" w:tblpX="1048" w:tblpY="463"/>
        <w:tblOverlap w:val="never"/>
        <w:tblW w:w="14490" w:type="dxa"/>
        <w:tblInd w:w="0" w:type="dxa"/>
        <w:tblBorders>
          <w:top w:val="single" w:color="DCDCDC" w:sz="24" w:space="0"/>
          <w:left w:val="single" w:color="DCDCDC" w:sz="24" w:space="0"/>
          <w:bottom w:val="single" w:color="DCDCDC" w:sz="24" w:space="0"/>
          <w:right w:val="single" w:color="DCDCDC" w:sz="24" w:space="0"/>
          <w:insideH w:val="none" w:color="auto" w:sz="0" w:space="0"/>
          <w:insideV w:val="none" w:color="auto" w:sz="0" w:space="0"/>
        </w:tblBorders>
        <w:tblLayout w:type="autofit"/>
        <w:tblCellMar>
          <w:top w:w="0" w:type="dxa"/>
          <w:left w:w="0" w:type="dxa"/>
          <w:bottom w:w="0" w:type="dxa"/>
          <w:right w:w="0" w:type="dxa"/>
        </w:tblCellMar>
      </w:tblPr>
      <w:tblGrid>
        <w:gridCol w:w="529"/>
        <w:gridCol w:w="785"/>
        <w:gridCol w:w="817"/>
        <w:gridCol w:w="726"/>
        <w:gridCol w:w="874"/>
        <w:gridCol w:w="2479"/>
        <w:gridCol w:w="5640"/>
        <w:gridCol w:w="2640"/>
      </w:tblGrid>
      <w:tr>
        <w:tblPrEx>
          <w:tblBorders>
            <w:top w:val="single" w:color="DCDCDC" w:sz="24" w:space="0"/>
            <w:left w:val="single" w:color="DCDCDC" w:sz="24" w:space="0"/>
            <w:bottom w:val="single" w:color="DCDCDC" w:sz="24" w:space="0"/>
            <w:right w:val="single" w:color="DCDCDC" w:sz="24" w:space="0"/>
            <w:insideH w:val="none" w:color="auto" w:sz="0" w:space="0"/>
            <w:insideV w:val="none" w:color="auto" w:sz="0" w:space="0"/>
          </w:tblBorders>
          <w:tblCellMar>
            <w:top w:w="0" w:type="dxa"/>
            <w:left w:w="0" w:type="dxa"/>
            <w:bottom w:w="0" w:type="dxa"/>
            <w:right w:w="0" w:type="dxa"/>
          </w:tblCellMar>
        </w:tblPrEx>
        <w:trPr>
          <w:trHeight w:val="1383" w:hRule="atLeast"/>
        </w:trPr>
        <w:tc>
          <w:tcPr>
            <w:tcW w:w="529" w:type="dxa"/>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wordWrap w:val="0"/>
              <w:adjustRightInd/>
              <w:snapToGrid/>
              <w:spacing w:before="75" w:after="75" w:line="480" w:lineRule="auto"/>
              <w:rPr>
                <w:rFonts w:ascii="宋体" w:hAnsi="宋体" w:eastAsia="宋体" w:cs="宋体"/>
                <w:sz w:val="24"/>
                <w:szCs w:val="24"/>
              </w:rPr>
            </w:pPr>
            <w:r>
              <w:rPr>
                <w:rFonts w:hint="eastAsia" w:ascii="宋体" w:hAnsi="宋体" w:eastAsia="宋体" w:cs="宋体"/>
                <w:sz w:val="24"/>
                <w:szCs w:val="24"/>
              </w:rPr>
              <w:t>序号</w:t>
            </w:r>
          </w:p>
        </w:tc>
        <w:tc>
          <w:tcPr>
            <w:tcW w:w="785" w:type="dxa"/>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wordWrap w:val="0"/>
              <w:adjustRightInd/>
              <w:snapToGrid/>
              <w:spacing w:before="75" w:after="75" w:line="480" w:lineRule="auto"/>
              <w:rPr>
                <w:rFonts w:ascii="宋体" w:hAnsi="宋体" w:eastAsia="宋体" w:cs="宋体"/>
                <w:sz w:val="24"/>
                <w:szCs w:val="24"/>
              </w:rPr>
            </w:pPr>
            <w:r>
              <w:rPr>
                <w:rFonts w:hint="eastAsia" w:ascii="宋体" w:hAnsi="宋体" w:eastAsia="宋体" w:cs="宋体"/>
                <w:sz w:val="24"/>
                <w:szCs w:val="24"/>
              </w:rPr>
              <w:t>项目名称</w:t>
            </w:r>
          </w:p>
        </w:tc>
        <w:tc>
          <w:tcPr>
            <w:tcW w:w="817" w:type="dxa"/>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wordWrap w:val="0"/>
              <w:adjustRightInd/>
              <w:snapToGrid/>
              <w:spacing w:before="75" w:after="75" w:line="480" w:lineRule="auto"/>
              <w:rPr>
                <w:rFonts w:ascii="宋体" w:hAnsi="宋体" w:eastAsia="宋体" w:cs="宋体"/>
                <w:sz w:val="24"/>
                <w:szCs w:val="24"/>
              </w:rPr>
            </w:pPr>
            <w:r>
              <w:rPr>
                <w:rFonts w:hint="eastAsia" w:ascii="宋体" w:hAnsi="宋体" w:eastAsia="宋体" w:cs="宋体"/>
                <w:sz w:val="24"/>
                <w:szCs w:val="24"/>
              </w:rPr>
              <w:t>建设地点</w:t>
            </w:r>
          </w:p>
        </w:tc>
        <w:tc>
          <w:tcPr>
            <w:tcW w:w="726" w:type="dxa"/>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wordWrap w:val="0"/>
              <w:adjustRightInd/>
              <w:snapToGrid/>
              <w:spacing w:before="75" w:after="75" w:line="480" w:lineRule="auto"/>
              <w:rPr>
                <w:rFonts w:ascii="宋体" w:hAnsi="宋体" w:eastAsia="宋体" w:cs="宋体"/>
                <w:sz w:val="24"/>
                <w:szCs w:val="24"/>
              </w:rPr>
            </w:pPr>
            <w:r>
              <w:rPr>
                <w:rFonts w:hint="eastAsia" w:ascii="宋体" w:hAnsi="宋体" w:eastAsia="宋体" w:cs="宋体"/>
                <w:sz w:val="24"/>
                <w:szCs w:val="24"/>
              </w:rPr>
              <w:t>建设单位</w:t>
            </w:r>
          </w:p>
        </w:tc>
        <w:tc>
          <w:tcPr>
            <w:tcW w:w="874" w:type="dxa"/>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wordWrap w:val="0"/>
              <w:adjustRightInd/>
              <w:snapToGrid/>
              <w:spacing w:before="75" w:after="75" w:line="480" w:lineRule="auto"/>
              <w:rPr>
                <w:rFonts w:ascii="宋体" w:hAnsi="宋体" w:eastAsia="宋体" w:cs="宋体"/>
                <w:sz w:val="24"/>
                <w:szCs w:val="24"/>
              </w:rPr>
            </w:pPr>
            <w:r>
              <w:rPr>
                <w:rFonts w:hint="eastAsia" w:ascii="宋体" w:hAnsi="宋体" w:eastAsia="宋体" w:cs="宋体"/>
                <w:sz w:val="24"/>
                <w:szCs w:val="24"/>
              </w:rPr>
              <w:t>环评编制单位</w:t>
            </w:r>
          </w:p>
        </w:tc>
        <w:tc>
          <w:tcPr>
            <w:tcW w:w="2479" w:type="dxa"/>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wordWrap w:val="0"/>
              <w:adjustRightInd/>
              <w:snapToGrid/>
              <w:spacing w:before="75" w:after="75" w:line="480" w:lineRule="auto"/>
              <w:ind w:firstLine="480" w:firstLineChars="200"/>
              <w:rPr>
                <w:rFonts w:ascii="宋体" w:hAnsi="宋体" w:eastAsia="宋体" w:cs="宋体"/>
                <w:sz w:val="24"/>
                <w:szCs w:val="24"/>
              </w:rPr>
            </w:pPr>
            <w:r>
              <w:rPr>
                <w:rFonts w:hint="eastAsia" w:ascii="宋体" w:hAnsi="宋体" w:eastAsia="宋体" w:cs="宋体"/>
                <w:sz w:val="24"/>
                <w:szCs w:val="24"/>
              </w:rPr>
              <w:t>建设项目概况</w:t>
            </w:r>
          </w:p>
        </w:tc>
        <w:tc>
          <w:tcPr>
            <w:tcW w:w="5640" w:type="dxa"/>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wordWrap w:val="0"/>
              <w:adjustRightInd/>
              <w:snapToGrid/>
              <w:spacing w:before="75" w:after="75" w:line="480" w:lineRule="auto"/>
              <w:rPr>
                <w:rFonts w:ascii="宋体" w:hAnsi="宋体" w:eastAsia="宋体" w:cs="宋体"/>
                <w:sz w:val="24"/>
                <w:szCs w:val="24"/>
              </w:rPr>
            </w:pPr>
            <w:r>
              <w:rPr>
                <w:rFonts w:hint="eastAsia" w:ascii="宋体" w:hAnsi="宋体" w:eastAsia="宋体" w:cs="宋体"/>
                <w:sz w:val="24"/>
                <w:szCs w:val="24"/>
              </w:rPr>
              <w:t>主要环境影响及预防或者减轻不良环境影响的对策和措施</w:t>
            </w:r>
          </w:p>
        </w:tc>
        <w:tc>
          <w:tcPr>
            <w:tcW w:w="2640" w:type="dxa"/>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wordWrap w:val="0"/>
              <w:adjustRightInd/>
              <w:snapToGrid/>
              <w:spacing w:before="75" w:after="75" w:line="480" w:lineRule="auto"/>
              <w:rPr>
                <w:rFonts w:ascii="宋体" w:hAnsi="宋体" w:eastAsia="宋体" w:cs="宋体"/>
                <w:sz w:val="24"/>
                <w:szCs w:val="24"/>
              </w:rPr>
            </w:pPr>
            <w:r>
              <w:rPr>
                <w:rFonts w:hint="eastAsia" w:ascii="宋体" w:hAnsi="宋体" w:eastAsia="宋体" w:cs="宋体"/>
                <w:sz w:val="24"/>
                <w:szCs w:val="24"/>
              </w:rPr>
              <w:t xml:space="preserve">建设单位开展的公众参与情况 </w:t>
            </w:r>
            <w:r>
              <w:rPr>
                <w:rFonts w:hint="eastAsia" w:ascii="宋体" w:hAnsi="宋体" w:eastAsia="宋体" w:cs="宋体"/>
                <w:color w:val="333333"/>
                <w:sz w:val="24"/>
                <w:szCs w:val="24"/>
              </w:rPr>
              <w:t>（报告书填写）</w:t>
            </w:r>
          </w:p>
        </w:tc>
      </w:tr>
      <w:tr>
        <w:tblPrEx>
          <w:tblBorders>
            <w:top w:val="single" w:color="DCDCDC" w:sz="24" w:space="0"/>
            <w:left w:val="single" w:color="DCDCDC" w:sz="24" w:space="0"/>
            <w:bottom w:val="single" w:color="DCDCDC" w:sz="24" w:space="0"/>
            <w:right w:val="single" w:color="DCDCDC" w:sz="24" w:space="0"/>
            <w:insideH w:val="none" w:color="auto" w:sz="0" w:space="0"/>
            <w:insideV w:val="none" w:color="auto" w:sz="0" w:space="0"/>
          </w:tblBorders>
          <w:tblCellMar>
            <w:top w:w="0" w:type="dxa"/>
            <w:left w:w="0" w:type="dxa"/>
            <w:bottom w:w="0" w:type="dxa"/>
            <w:right w:w="0" w:type="dxa"/>
          </w:tblCellMar>
        </w:tblPrEx>
        <w:trPr>
          <w:trHeight w:val="915" w:hRule="atLeast"/>
        </w:trPr>
        <w:tc>
          <w:tcPr>
            <w:tcW w:w="529" w:type="dxa"/>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wordWrap w:val="0"/>
              <w:adjustRightInd/>
              <w:snapToGrid/>
              <w:spacing w:before="75" w:after="75" w:line="480" w:lineRule="auto"/>
              <w:rPr>
                <w:rFonts w:ascii="宋体" w:hAnsi="宋体" w:eastAsia="宋体" w:cs="宋体"/>
                <w:sz w:val="24"/>
                <w:szCs w:val="24"/>
              </w:rPr>
            </w:pPr>
            <w:r>
              <w:rPr>
                <w:rFonts w:hint="eastAsia" w:ascii="宋体" w:hAnsi="宋体" w:eastAsia="宋体" w:cs="宋体"/>
                <w:sz w:val="24"/>
                <w:szCs w:val="24"/>
              </w:rPr>
              <w:t>1</w:t>
            </w:r>
          </w:p>
        </w:tc>
        <w:tc>
          <w:tcPr>
            <w:tcW w:w="785" w:type="dxa"/>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jc w:val="center"/>
              <w:rPr>
                <w:rFonts w:ascii="宋体" w:hAnsi="宋体" w:eastAsia="宋体" w:cs="宋体"/>
                <w:sz w:val="24"/>
                <w:szCs w:val="24"/>
              </w:rPr>
            </w:pPr>
            <w:r>
              <w:rPr>
                <w:rFonts w:hint="eastAsia" w:ascii="宋体" w:hAnsi="宋体" w:eastAsia="宋体" w:cs="宋体"/>
                <w:sz w:val="24"/>
                <w:szCs w:val="24"/>
              </w:rPr>
              <w:t>新建宁武县医疗集团阳方口镇中心卫生院医疗业务综合楼项目</w:t>
            </w:r>
          </w:p>
        </w:tc>
        <w:tc>
          <w:tcPr>
            <w:tcW w:w="817" w:type="dxa"/>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jc w:val="center"/>
              <w:rPr>
                <w:rFonts w:ascii="宋体" w:hAnsi="宋体" w:eastAsia="宋体" w:cs="宋体"/>
                <w:sz w:val="24"/>
                <w:szCs w:val="24"/>
              </w:rPr>
            </w:pPr>
            <w:r>
              <w:rPr>
                <w:rFonts w:hint="eastAsia" w:ascii="宋体" w:hAnsi="宋体" w:eastAsia="宋体" w:cs="宋体"/>
                <w:sz w:val="24"/>
                <w:szCs w:val="24"/>
              </w:rPr>
              <w:t>山西省忻州市宁武县阳方口镇阳方口村</w:t>
            </w:r>
          </w:p>
        </w:tc>
        <w:tc>
          <w:tcPr>
            <w:tcW w:w="726" w:type="dxa"/>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wordWrap w:val="0"/>
              <w:adjustRightInd/>
              <w:snapToGrid/>
              <w:spacing w:before="75" w:after="75" w:line="480" w:lineRule="auto"/>
              <w:jc w:val="center"/>
              <w:rPr>
                <w:rFonts w:ascii="宋体" w:hAnsi="宋体" w:eastAsia="宋体" w:cs="宋体"/>
                <w:sz w:val="24"/>
                <w:szCs w:val="24"/>
              </w:rPr>
            </w:pPr>
            <w:r>
              <w:rPr>
                <w:rFonts w:hint="eastAsia" w:ascii="宋体" w:hAnsi="宋体" w:eastAsia="宋体" w:cs="宋体"/>
                <w:sz w:val="24"/>
                <w:szCs w:val="24"/>
              </w:rPr>
              <w:t>宁武县医疗集团</w:t>
            </w:r>
          </w:p>
        </w:tc>
        <w:tc>
          <w:tcPr>
            <w:tcW w:w="874" w:type="dxa"/>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wordWrap w:val="0"/>
              <w:adjustRightInd/>
              <w:snapToGrid/>
              <w:spacing w:before="75" w:after="75" w:line="480" w:lineRule="auto"/>
              <w:jc w:val="center"/>
              <w:rPr>
                <w:rFonts w:ascii="宋体" w:hAnsi="宋体" w:eastAsia="宋体" w:cs="宋体"/>
                <w:sz w:val="24"/>
                <w:szCs w:val="24"/>
              </w:rPr>
            </w:pPr>
            <w:r>
              <w:rPr>
                <w:rFonts w:hint="eastAsia" w:ascii="宋体" w:hAnsi="宋体" w:eastAsia="宋体" w:cs="宋体"/>
                <w:sz w:val="24"/>
                <w:szCs w:val="24"/>
              </w:rPr>
              <w:t>山西纳兰环保科技有限公司</w:t>
            </w:r>
          </w:p>
        </w:tc>
        <w:tc>
          <w:tcPr>
            <w:tcW w:w="2479" w:type="dxa"/>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wordWrap w:val="0"/>
              <w:adjustRightInd/>
              <w:snapToGrid/>
              <w:spacing w:before="75" w:after="75" w:line="480" w:lineRule="auto"/>
              <w:jc w:val="center"/>
              <w:rPr>
                <w:rFonts w:ascii="宋体" w:hAnsi="宋体" w:eastAsia="宋体" w:cs="宋体"/>
                <w:sz w:val="24"/>
                <w:szCs w:val="24"/>
              </w:rPr>
            </w:pPr>
            <w:r>
              <w:rPr>
                <w:rFonts w:hint="eastAsia" w:ascii="宋体" w:hAnsi="宋体" w:eastAsia="宋体" w:cs="宋体"/>
                <w:sz w:val="24"/>
                <w:szCs w:val="24"/>
              </w:rPr>
              <w:t>新建宁武县医疗集团阳方口镇中心卫生院医疗业务综合楼项目</w:t>
            </w:r>
          </w:p>
        </w:tc>
        <w:tc>
          <w:tcPr>
            <w:tcW w:w="5640" w:type="dxa"/>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tcPr>
          <w:p>
            <w:pPr>
              <w:spacing w:after="80"/>
              <w:rPr>
                <w:rFonts w:ascii="宋体" w:hAnsi="宋体" w:eastAsia="宋体" w:cs="宋体"/>
                <w:sz w:val="24"/>
                <w:szCs w:val="24"/>
              </w:rPr>
            </w:pPr>
            <w:r>
              <w:rPr>
                <w:rFonts w:hint="eastAsia" w:ascii="宋体" w:hAnsi="宋体" w:eastAsia="宋体" w:cs="宋体"/>
                <w:sz w:val="24"/>
                <w:szCs w:val="24"/>
              </w:rPr>
              <w:t>大气环境：</w:t>
            </w:r>
          </w:p>
          <w:p>
            <w:pPr>
              <w:spacing w:after="80"/>
              <w:rPr>
                <w:rFonts w:ascii="宋体" w:hAnsi="宋体" w:eastAsia="宋体" w:cs="宋体"/>
                <w:sz w:val="24"/>
                <w:szCs w:val="24"/>
              </w:rPr>
            </w:pPr>
            <w:r>
              <w:rPr>
                <w:rFonts w:hint="eastAsia" w:ascii="宋体" w:hAnsi="宋体" w:eastAsia="宋体" w:cs="宋体"/>
                <w:sz w:val="24"/>
                <w:szCs w:val="24"/>
              </w:rPr>
              <w:t>污水处理站恶臭气体：将调节池、池体及污泥池加盖。污水处理站臭气通过管道送入1台二级活性炭吸附处理装置污水处理，处理后通过1座22m高的排气筒排放。 餐厅油烟：食堂安装1台油烟净化器，油烟经处理后达标排放。油烟经处理后引至餐厅房顶排放。医疗废物暂存间恶臭气体：医疗废物暂存间每天清洁、消毒，医疗废物通过专用容器及防漏胶带收集密封，医疗废物及时清运、处置。</w:t>
            </w:r>
          </w:p>
          <w:p>
            <w:pPr>
              <w:spacing w:after="80"/>
              <w:rPr>
                <w:rFonts w:ascii="宋体" w:hAnsi="宋体" w:eastAsia="宋体" w:cs="宋体"/>
                <w:sz w:val="24"/>
                <w:szCs w:val="24"/>
              </w:rPr>
            </w:pPr>
            <w:r>
              <w:rPr>
                <w:rFonts w:hint="eastAsia" w:ascii="宋体" w:hAnsi="宋体" w:eastAsia="宋体" w:cs="宋体"/>
                <w:sz w:val="24"/>
                <w:szCs w:val="24"/>
              </w:rPr>
              <w:t>地表水环境</w:t>
            </w:r>
            <w:r>
              <w:rPr>
                <w:rFonts w:hint="eastAsia" w:ascii="宋体" w:hAnsi="宋体" w:eastAsia="宋体" w:cs="宋体"/>
                <w:sz w:val="24"/>
                <w:szCs w:val="24"/>
              </w:rPr>
              <w:tab/>
            </w:r>
            <w:r>
              <w:rPr>
                <w:rFonts w:hint="eastAsia" w:ascii="宋体" w:hAnsi="宋体" w:eastAsia="宋体" w:cs="宋体"/>
                <w:sz w:val="24"/>
                <w:szCs w:val="24"/>
              </w:rPr>
              <w:t>：</w:t>
            </w:r>
          </w:p>
          <w:p>
            <w:pPr>
              <w:spacing w:after="80"/>
              <w:rPr>
                <w:rFonts w:ascii="宋体" w:hAnsi="宋体" w:eastAsia="宋体" w:cs="宋体"/>
                <w:sz w:val="24"/>
                <w:szCs w:val="24"/>
              </w:rPr>
            </w:pPr>
            <w:r>
              <w:rPr>
                <w:rFonts w:hint="eastAsia" w:ascii="宋体" w:hAnsi="宋体" w:eastAsia="宋体" w:cs="宋体"/>
                <w:sz w:val="24"/>
                <w:szCs w:val="24"/>
              </w:rPr>
              <w:t>一般医疗废水、生活污水：本中心医院医务人员日常生活污水和医疗废水混合排放不分流，一起进入污水处理站；综合楼产生的医疗废水、医务人员生活污水混合排放不分流，一起进入化粪池处理后进入污水处理站。全院污废水经污水处理站处理后最后进入阳方口镇污水处理厂。</w:t>
            </w:r>
            <w:r>
              <w:rPr>
                <w:rFonts w:hint="eastAsia" w:ascii="宋体" w:hAnsi="宋体" w:eastAsia="宋体" w:cs="宋体"/>
                <w:sz w:val="24"/>
                <w:szCs w:val="24"/>
              </w:rPr>
              <w:tab/>
            </w:r>
            <w:r>
              <w:rPr>
                <w:rFonts w:hint="eastAsia" w:ascii="宋体" w:hAnsi="宋体" w:eastAsia="宋体" w:cs="宋体"/>
                <w:sz w:val="24"/>
                <w:szCs w:val="24"/>
              </w:rPr>
              <w:t>酸性废水：使用氢氧化钠作为中和剂，将其投入酸性废水中混合搅拌，待中和处理到pH值为7～8后排入医院污水处理系统。食堂废水：食堂废水经过隔油池后汇入总排口从北侧排入下粮站路城市污水管网后向西进入大运路的市政排污管网，最终进入阳方口镇污水处理厂。</w:t>
            </w:r>
          </w:p>
          <w:p>
            <w:pPr>
              <w:spacing w:after="80"/>
              <w:rPr>
                <w:rFonts w:ascii="宋体" w:hAnsi="宋体" w:eastAsia="宋体" w:cs="宋体"/>
                <w:sz w:val="24"/>
                <w:szCs w:val="24"/>
              </w:rPr>
            </w:pPr>
            <w:r>
              <w:rPr>
                <w:rFonts w:hint="eastAsia" w:ascii="宋体" w:hAnsi="宋体" w:eastAsia="宋体" w:cs="宋体"/>
                <w:sz w:val="24"/>
                <w:szCs w:val="24"/>
              </w:rPr>
              <w:t>噪声：</w:t>
            </w:r>
          </w:p>
          <w:p>
            <w:pPr>
              <w:spacing w:after="80"/>
              <w:rPr>
                <w:rFonts w:ascii="宋体" w:hAnsi="宋体" w:eastAsia="宋体" w:cs="宋体"/>
                <w:sz w:val="24"/>
                <w:szCs w:val="24"/>
              </w:rPr>
            </w:pPr>
            <w:r>
              <w:rPr>
                <w:rFonts w:hint="eastAsia" w:ascii="宋体" w:hAnsi="宋体" w:eastAsia="宋体" w:cs="宋体"/>
                <w:sz w:val="24"/>
                <w:szCs w:val="24"/>
              </w:rPr>
              <w:t>优化平面布置，优先选用低噪设备；空调机组布置在综合楼顶，并设置声屏障，采取建筑隔声、减震措施，设备定期维护、保养；对来医院就医人员进行正确的督导，设立明确的指示牌，禁止大声喧哗；车辆限速行驶，减少鸣笛，绿化降噪；楼内合理平面布局。</w:t>
            </w:r>
          </w:p>
          <w:p>
            <w:pPr>
              <w:spacing w:after="80"/>
              <w:rPr>
                <w:rFonts w:ascii="宋体" w:hAnsi="宋体" w:eastAsia="宋体" w:cs="宋体"/>
                <w:sz w:val="24"/>
                <w:szCs w:val="24"/>
              </w:rPr>
            </w:pPr>
            <w:r>
              <w:rPr>
                <w:rFonts w:hint="eastAsia" w:ascii="宋体" w:hAnsi="宋体" w:eastAsia="宋体" w:cs="宋体"/>
                <w:sz w:val="24"/>
                <w:szCs w:val="24"/>
              </w:rPr>
              <w:t>固体废物：</w:t>
            </w:r>
          </w:p>
          <w:p>
            <w:pPr>
              <w:spacing w:after="80"/>
              <w:rPr>
                <w:rFonts w:hint="eastAsia" w:ascii="宋体" w:hAnsi="宋体" w:eastAsia="宋体" w:cs="宋体"/>
                <w:sz w:val="24"/>
                <w:szCs w:val="24"/>
              </w:rPr>
            </w:pPr>
            <w:r>
              <w:rPr>
                <w:rFonts w:hint="eastAsia" w:ascii="宋体" w:hAnsi="宋体" w:eastAsia="宋体" w:cs="宋体"/>
                <w:sz w:val="24"/>
                <w:szCs w:val="24"/>
              </w:rPr>
              <w:t>生活垃圾：综合楼各楼层设置封闭式垃圾桶，收集后由环卫部门处置；医疗废物、废药品、中药药渣</w:t>
            </w:r>
            <w:r>
              <w:rPr>
                <w:rFonts w:ascii="宋体" w:hAnsi="宋体" w:eastAsia="宋体" w:cs="宋体"/>
                <w:sz w:val="24"/>
                <w:szCs w:val="24"/>
              </w:rPr>
              <w:t>：</w:t>
            </w:r>
            <w:r>
              <w:rPr>
                <w:rFonts w:hint="eastAsia" w:ascii="宋体" w:hAnsi="宋体" w:eastAsia="宋体" w:cs="宋体"/>
                <w:sz w:val="24"/>
                <w:szCs w:val="24"/>
              </w:rPr>
              <w:t>综合楼产生的医疗废物分类收集后，在医院20m</w:t>
            </w:r>
            <w:r>
              <w:rPr>
                <w:rFonts w:hint="eastAsia" w:ascii="宋体" w:hAnsi="宋体" w:eastAsia="宋体" w:cs="宋体"/>
                <w:sz w:val="24"/>
                <w:szCs w:val="24"/>
                <w:vertAlign w:val="superscript"/>
              </w:rPr>
              <w:t>2</w:t>
            </w:r>
            <w:r>
              <w:rPr>
                <w:rFonts w:hint="eastAsia" w:ascii="宋体" w:hAnsi="宋体" w:eastAsia="宋体" w:cs="宋体"/>
                <w:sz w:val="24"/>
                <w:szCs w:val="24"/>
              </w:rPr>
              <w:t>医疗废物暂存间内分类贮存，委托忻州市安康医疗废物处置有限公司收集处理不外排</w:t>
            </w:r>
            <w:r>
              <w:rPr>
                <w:rFonts w:ascii="宋体" w:hAnsi="宋体" w:eastAsia="宋体" w:cs="宋体"/>
                <w:sz w:val="24"/>
                <w:szCs w:val="24"/>
              </w:rPr>
              <w:t>；</w:t>
            </w:r>
            <w:r>
              <w:rPr>
                <w:rFonts w:hint="eastAsia" w:ascii="宋体" w:hAnsi="宋体" w:eastAsia="宋体" w:cs="宋体"/>
                <w:sz w:val="24"/>
                <w:szCs w:val="24"/>
              </w:rPr>
              <w:t>栅渣及污水处理站污泥</w:t>
            </w:r>
            <w:r>
              <w:rPr>
                <w:rFonts w:ascii="宋体" w:hAnsi="宋体" w:eastAsia="宋体" w:cs="宋体"/>
                <w:sz w:val="24"/>
                <w:szCs w:val="24"/>
              </w:rPr>
              <w:t>：</w:t>
            </w:r>
            <w:r>
              <w:rPr>
                <w:rFonts w:hint="eastAsia" w:ascii="宋体" w:hAnsi="宋体" w:eastAsia="宋体" w:cs="宋体"/>
                <w:sz w:val="24"/>
                <w:szCs w:val="24"/>
              </w:rPr>
              <w:t>污泥经过消毒、沉淀后，直接密封在塑料容器内，送至医疗废物暂存间暂存，定期委托忻州市安康医疗废物处置有限公司清理清运处置。废活性炭装到密封桶中、将密封桶放在医疗废物暂存间，委托忻州市安康医疗废物处置有限公司对医疗废物进行处置。</w:t>
            </w:r>
          </w:p>
          <w:p>
            <w:pPr>
              <w:spacing w:after="80"/>
              <w:rPr>
                <w:rFonts w:hint="eastAsia" w:ascii="宋体" w:hAnsi="宋体" w:eastAsia="宋体" w:cs="宋体"/>
                <w:sz w:val="24"/>
                <w:szCs w:val="24"/>
              </w:rPr>
            </w:pPr>
            <w:r>
              <w:rPr>
                <w:rFonts w:hint="eastAsia" w:ascii="宋体" w:hAnsi="宋体" w:eastAsia="宋体" w:cs="宋体"/>
                <w:sz w:val="24"/>
                <w:szCs w:val="24"/>
              </w:rPr>
              <w:t>土壤及地下水污染防治措施：</w:t>
            </w:r>
          </w:p>
          <w:p>
            <w:pPr>
              <w:spacing w:after="80"/>
              <w:rPr>
                <w:rFonts w:hint="eastAsia" w:ascii="宋体" w:hAnsi="宋体" w:eastAsia="宋体" w:cs="宋体"/>
                <w:sz w:val="24"/>
                <w:szCs w:val="24"/>
              </w:rPr>
            </w:pPr>
            <w:r>
              <w:rPr>
                <w:rFonts w:hint="eastAsia" w:ascii="宋体" w:hAnsi="宋体" w:eastAsia="宋体" w:cs="宋体"/>
                <w:sz w:val="24"/>
                <w:szCs w:val="24"/>
              </w:rPr>
              <w:t>对医疗废物暂存间、污水处理站各池体、消毒池体等区域进行重点防渗，防渗层采用2mm厚的防渗材料（等效黏土防渗层≥6.0m），保证渗透系数≤10</w:t>
            </w:r>
            <w:r>
              <w:rPr>
                <w:rFonts w:hint="eastAsia" w:ascii="宋体" w:hAnsi="宋体" w:eastAsia="宋体" w:cs="宋体"/>
                <w:sz w:val="24"/>
                <w:szCs w:val="24"/>
                <w:vertAlign w:val="superscript"/>
              </w:rPr>
              <w:t>-7</w:t>
            </w:r>
            <w:r>
              <w:rPr>
                <w:rFonts w:hint="eastAsia" w:ascii="宋体" w:hAnsi="宋体" w:eastAsia="宋体" w:cs="宋体"/>
                <w:sz w:val="24"/>
                <w:szCs w:val="24"/>
              </w:rPr>
              <w:t>cm/s，其他区域进行一般防渗，防渗要求满足等效黏土防渗层≥1.5m，渗透系数≤10</w:t>
            </w:r>
            <w:r>
              <w:rPr>
                <w:rFonts w:hint="eastAsia" w:ascii="宋体" w:hAnsi="宋体" w:eastAsia="宋体" w:cs="宋体"/>
                <w:sz w:val="24"/>
                <w:szCs w:val="24"/>
                <w:vertAlign w:val="superscript"/>
              </w:rPr>
              <w:t>-5</w:t>
            </w:r>
            <w:r>
              <w:rPr>
                <w:rFonts w:hint="eastAsia" w:ascii="宋体" w:hAnsi="宋体" w:eastAsia="宋体" w:cs="宋体"/>
                <w:sz w:val="24"/>
                <w:szCs w:val="24"/>
              </w:rPr>
              <w:t>cm/s。</w:t>
            </w:r>
          </w:p>
          <w:p>
            <w:pPr>
              <w:spacing w:after="80"/>
              <w:rPr>
                <w:rFonts w:hint="eastAsia" w:ascii="宋体" w:hAnsi="宋体" w:eastAsia="宋体" w:cs="宋体"/>
                <w:sz w:val="24"/>
                <w:szCs w:val="24"/>
              </w:rPr>
            </w:pPr>
            <w:r>
              <w:rPr>
                <w:rFonts w:hint="eastAsia" w:ascii="宋体" w:hAnsi="宋体" w:eastAsia="宋体" w:cs="宋体"/>
                <w:sz w:val="24"/>
                <w:szCs w:val="24"/>
              </w:rPr>
              <w:t>环境风险防范措施：</w:t>
            </w:r>
          </w:p>
          <w:p>
            <w:pPr>
              <w:spacing w:after="80"/>
            </w:pPr>
            <w:r>
              <w:rPr>
                <w:rFonts w:hint="eastAsia" w:ascii="宋体" w:hAnsi="宋体" w:eastAsia="宋体" w:cs="宋体"/>
                <w:sz w:val="24"/>
                <w:szCs w:val="24"/>
              </w:rPr>
              <w:t>次氯酸钠环境风险防范措施：1）对于储罐及管线要按时检查与维护，减少事故发生概率；2）溶药罐区地面应做防渗措施。项目需在溶药罐区设置围堰，防止溶药罐泄漏导致次氯酸钠溶液外流；3）项目应设有1个备用储罐，可将泄漏的溶液泵入备用储罐中回用。</w:t>
            </w:r>
          </w:p>
        </w:tc>
        <w:tc>
          <w:tcPr>
            <w:tcW w:w="2640" w:type="dxa"/>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wordWrap w:val="0"/>
              <w:adjustRightInd/>
              <w:snapToGrid/>
              <w:spacing w:before="75" w:after="75" w:line="480" w:lineRule="auto"/>
              <w:ind w:firstLine="960" w:firstLineChars="400"/>
              <w:rPr>
                <w:rFonts w:ascii="宋体" w:hAnsi="宋体" w:eastAsia="宋体" w:cs="宋体"/>
                <w:color w:val="333333"/>
                <w:sz w:val="24"/>
                <w:szCs w:val="24"/>
              </w:rPr>
            </w:pPr>
            <w:r>
              <w:rPr>
                <w:rFonts w:hint="eastAsia" w:ascii="宋体" w:hAnsi="宋体" w:eastAsia="宋体" w:cs="宋体"/>
                <w:color w:val="333333"/>
                <w:sz w:val="24"/>
                <w:szCs w:val="24"/>
              </w:rPr>
              <w:t>无</w:t>
            </w:r>
          </w:p>
        </w:tc>
      </w:tr>
      <w:tr>
        <w:tblPrEx>
          <w:tblBorders>
            <w:top w:val="single" w:color="DCDCDC" w:sz="24" w:space="0"/>
            <w:left w:val="single" w:color="DCDCDC" w:sz="24" w:space="0"/>
            <w:bottom w:val="single" w:color="DCDCDC" w:sz="24" w:space="0"/>
            <w:right w:val="single" w:color="DCDCDC" w:sz="24" w:space="0"/>
            <w:insideH w:val="none" w:color="auto" w:sz="0" w:space="0"/>
            <w:insideV w:val="none" w:color="auto" w:sz="0" w:space="0"/>
          </w:tblBorders>
          <w:tblCellMar>
            <w:top w:w="0" w:type="dxa"/>
            <w:left w:w="0" w:type="dxa"/>
            <w:bottom w:w="0" w:type="dxa"/>
            <w:right w:w="0" w:type="dxa"/>
          </w:tblCellMar>
        </w:tblPrEx>
        <w:trPr>
          <w:trHeight w:val="525" w:hRule="atLeast"/>
        </w:trPr>
        <w:tc>
          <w:tcPr>
            <w:tcW w:w="14490" w:type="dxa"/>
            <w:gridSpan w:val="8"/>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wordWrap w:val="0"/>
              <w:adjustRightInd/>
              <w:snapToGrid/>
              <w:spacing w:before="75" w:after="75" w:line="480" w:lineRule="auto"/>
              <w:rPr>
                <w:rFonts w:ascii="宋体" w:hAnsi="宋体" w:eastAsia="宋体" w:cs="宋体"/>
                <w:sz w:val="24"/>
                <w:szCs w:val="24"/>
              </w:rPr>
            </w:pPr>
            <w:r>
              <w:rPr>
                <w:rFonts w:hint="eastAsia" w:ascii="宋体" w:hAnsi="宋体" w:eastAsia="宋体" w:cs="宋体"/>
                <w:sz w:val="24"/>
                <w:szCs w:val="24"/>
              </w:rPr>
              <w:t>听证权利告知：依据《中华人民共和国行政许可法》，自公示起3日内申请人、利害关系人可提出听证申请。</w:t>
            </w:r>
          </w:p>
        </w:tc>
      </w:tr>
      <w:tr>
        <w:tblPrEx>
          <w:tblBorders>
            <w:top w:val="single" w:color="DCDCDC" w:sz="24" w:space="0"/>
            <w:left w:val="single" w:color="DCDCDC" w:sz="24" w:space="0"/>
            <w:bottom w:val="single" w:color="DCDCDC" w:sz="24" w:space="0"/>
            <w:right w:val="single" w:color="DCDCDC" w:sz="24" w:space="0"/>
            <w:insideH w:val="none" w:color="auto" w:sz="0" w:space="0"/>
            <w:insideV w:val="none" w:color="auto" w:sz="0" w:space="0"/>
          </w:tblBorders>
          <w:tblCellMar>
            <w:top w:w="0" w:type="dxa"/>
            <w:left w:w="0" w:type="dxa"/>
            <w:bottom w:w="0" w:type="dxa"/>
            <w:right w:w="0" w:type="dxa"/>
          </w:tblCellMar>
        </w:tblPrEx>
        <w:trPr>
          <w:trHeight w:val="570" w:hRule="atLeast"/>
        </w:trPr>
        <w:tc>
          <w:tcPr>
            <w:tcW w:w="14490" w:type="dxa"/>
            <w:gridSpan w:val="8"/>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wordWrap w:val="0"/>
              <w:adjustRightInd/>
              <w:snapToGrid/>
              <w:spacing w:before="75" w:after="75" w:line="480" w:lineRule="auto"/>
              <w:rPr>
                <w:rFonts w:ascii="宋体" w:hAnsi="宋体" w:eastAsia="宋体" w:cs="宋体"/>
                <w:sz w:val="24"/>
                <w:szCs w:val="24"/>
              </w:rPr>
            </w:pPr>
            <w:r>
              <w:rPr>
                <w:rFonts w:hint="eastAsia" w:ascii="宋体" w:hAnsi="宋体" w:eastAsia="宋体" w:cs="宋体"/>
                <w:sz w:val="24"/>
                <w:szCs w:val="24"/>
              </w:rPr>
              <w:t>公众反馈意见联系电话：宁武县行政审批服务管理局 0350-4728668</w:t>
            </w:r>
          </w:p>
        </w:tc>
      </w:tr>
      <w:tr>
        <w:tblPrEx>
          <w:tblBorders>
            <w:top w:val="single" w:color="DCDCDC" w:sz="24" w:space="0"/>
            <w:left w:val="single" w:color="DCDCDC" w:sz="24" w:space="0"/>
            <w:bottom w:val="single" w:color="DCDCDC" w:sz="24" w:space="0"/>
            <w:right w:val="single" w:color="DCDCDC" w:sz="24" w:space="0"/>
            <w:insideH w:val="none" w:color="auto" w:sz="0" w:space="0"/>
            <w:insideV w:val="none" w:color="auto" w:sz="0" w:space="0"/>
          </w:tblBorders>
          <w:tblCellMar>
            <w:top w:w="0" w:type="dxa"/>
            <w:left w:w="0" w:type="dxa"/>
            <w:bottom w:w="0" w:type="dxa"/>
            <w:right w:w="0" w:type="dxa"/>
          </w:tblCellMar>
        </w:tblPrEx>
        <w:trPr>
          <w:trHeight w:val="465" w:hRule="atLeast"/>
        </w:trPr>
        <w:tc>
          <w:tcPr>
            <w:tcW w:w="14490" w:type="dxa"/>
            <w:gridSpan w:val="8"/>
            <w:tcBorders>
              <w:top w:val="single" w:color="DCDCDC" w:sz="24" w:space="0"/>
              <w:left w:val="single" w:color="DCDCDC" w:sz="24" w:space="0"/>
              <w:bottom w:val="single" w:color="DCDCDC" w:sz="24" w:space="0"/>
              <w:right w:val="single" w:color="DCDCDC" w:sz="24" w:space="0"/>
            </w:tcBorders>
            <w:tcMar>
              <w:top w:w="0" w:type="dxa"/>
              <w:left w:w="150" w:type="dxa"/>
              <w:bottom w:w="0" w:type="dxa"/>
              <w:right w:w="0" w:type="dxa"/>
            </w:tcMar>
            <w:vAlign w:val="center"/>
          </w:tcPr>
          <w:p>
            <w:pPr>
              <w:wordWrap w:val="0"/>
              <w:adjustRightInd/>
              <w:snapToGrid/>
              <w:spacing w:before="75" w:after="75" w:line="480" w:lineRule="auto"/>
              <w:rPr>
                <w:rFonts w:ascii="宋体" w:hAnsi="宋体" w:eastAsia="宋体" w:cs="宋体"/>
                <w:sz w:val="24"/>
                <w:szCs w:val="24"/>
              </w:rPr>
            </w:pPr>
            <w:r>
              <w:rPr>
                <w:rFonts w:hint="eastAsia" w:ascii="宋体" w:hAnsi="宋体" w:eastAsia="宋体" w:cs="宋体"/>
                <w:sz w:val="24"/>
                <w:szCs w:val="24"/>
              </w:rPr>
              <w:t>公示时间：2022年9月</w:t>
            </w:r>
            <w:r>
              <w:rPr>
                <w:rFonts w:hint="eastAsia" w:ascii="宋体" w:hAnsi="宋体" w:eastAsia="宋体" w:cs="宋体"/>
                <w:sz w:val="24"/>
                <w:szCs w:val="24"/>
                <w:lang w:val="en-US" w:eastAsia="zh-CN"/>
              </w:rPr>
              <w:t>7</w:t>
            </w:r>
            <w:r>
              <w:rPr>
                <w:rFonts w:hint="eastAsia" w:ascii="宋体" w:hAnsi="宋体" w:eastAsia="宋体" w:cs="宋体"/>
                <w:sz w:val="24"/>
                <w:szCs w:val="24"/>
              </w:rPr>
              <w:t>日-2022年9月</w:t>
            </w:r>
            <w:r>
              <w:rPr>
                <w:rFonts w:hint="eastAsia" w:ascii="宋体" w:hAnsi="宋体" w:eastAsia="宋体" w:cs="宋体"/>
                <w:sz w:val="24"/>
                <w:szCs w:val="24"/>
                <w:lang w:val="en-US" w:eastAsia="zh-CN"/>
              </w:rPr>
              <w:t>15</w:t>
            </w:r>
            <w:bookmarkStart w:id="0" w:name="_GoBack"/>
            <w:bookmarkEnd w:id="0"/>
            <w:r>
              <w:rPr>
                <w:rFonts w:hint="eastAsia" w:ascii="宋体" w:hAnsi="宋体" w:eastAsia="宋体" w:cs="宋体"/>
                <w:sz w:val="24"/>
                <w:szCs w:val="24"/>
              </w:rPr>
              <w:t>日（5个工作日以网上发布时间为准）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lZGRmMDdkYzAzOGQ5YWRhNzdiNGZiNTJhODZiMTgifQ=="/>
  </w:docVars>
  <w:rsids>
    <w:rsidRoot w:val="008202C0"/>
    <w:rsid w:val="000A1E2B"/>
    <w:rsid w:val="003C5008"/>
    <w:rsid w:val="00593B28"/>
    <w:rsid w:val="005E47B0"/>
    <w:rsid w:val="007973E1"/>
    <w:rsid w:val="0080360E"/>
    <w:rsid w:val="008202C0"/>
    <w:rsid w:val="00895D72"/>
    <w:rsid w:val="008C6142"/>
    <w:rsid w:val="009F442F"/>
    <w:rsid w:val="00DC666D"/>
    <w:rsid w:val="00E30814"/>
    <w:rsid w:val="0D8B0096"/>
    <w:rsid w:val="0F871E57"/>
    <w:rsid w:val="12136BB3"/>
    <w:rsid w:val="12612E3B"/>
    <w:rsid w:val="1EF77537"/>
    <w:rsid w:val="21A90826"/>
    <w:rsid w:val="289013CC"/>
    <w:rsid w:val="28E00EB3"/>
    <w:rsid w:val="2B63674F"/>
    <w:rsid w:val="319C60F2"/>
    <w:rsid w:val="3D77748C"/>
    <w:rsid w:val="416C535F"/>
    <w:rsid w:val="41B7506D"/>
    <w:rsid w:val="47414D6A"/>
    <w:rsid w:val="498370D0"/>
    <w:rsid w:val="4DB80B3B"/>
    <w:rsid w:val="5B667FCC"/>
    <w:rsid w:val="621417A9"/>
    <w:rsid w:val="6D981C1F"/>
    <w:rsid w:val="71755DD4"/>
    <w:rsid w:val="74B56A2F"/>
    <w:rsid w:val="7CFE3B52"/>
    <w:rsid w:val="7FAC1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1"/>
    <w:next w:val="1"/>
    <w:qFormat/>
    <w:uiPriority w:val="0"/>
    <w:pPr>
      <w:spacing w:after="120"/>
      <w:ind w:left="420" w:leftChars="200" w:firstLine="420" w:firstLineChars="200"/>
    </w:pPr>
    <w:rPr>
      <w:rFonts w:hAnsi="宋体"/>
      <w:sz w:val="21"/>
      <w:szCs w:val="21"/>
    </w:rPr>
  </w:style>
  <w:style w:type="paragraph" w:styleId="3">
    <w:name w:val="footer"/>
    <w:basedOn w:val="1"/>
    <w:qFormat/>
    <w:uiPriority w:val="0"/>
    <w:pPr>
      <w:tabs>
        <w:tab w:val="center" w:pos="4153"/>
        <w:tab w:val="right" w:pos="8306"/>
      </w:tabs>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5">
    <w:name w:val="Normal (Web)"/>
    <w:basedOn w:val="1"/>
    <w:unhideWhenUsed/>
    <w:qFormat/>
    <w:uiPriority w:val="99"/>
    <w:pPr>
      <w:spacing w:before="100" w:beforeAutospacing="1" w:after="100" w:afterAutospacing="1"/>
    </w:pPr>
    <w:rPr>
      <w:rFonts w:ascii="宋体" w:hAnsi="宋体" w:eastAsia="宋体" w:cs="宋体"/>
      <w:sz w:val="24"/>
      <w:szCs w:val="24"/>
    </w:rPr>
  </w:style>
  <w:style w:type="paragraph" w:customStyle="1" w:styleId="8">
    <w:name w:val="表格123"/>
    <w:basedOn w:val="1"/>
    <w:next w:val="1"/>
    <w:qFormat/>
    <w:uiPriority w:val="0"/>
    <w:pPr>
      <w:widowControl w:val="0"/>
      <w:tabs>
        <w:tab w:val="left" w:pos="5880"/>
      </w:tabs>
      <w:adjustRightInd/>
      <w:spacing w:after="0" w:line="320" w:lineRule="atLeast"/>
      <w:jc w:val="center"/>
    </w:pPr>
    <w:rPr>
      <w:rFonts w:ascii="宋体" w:hAnsi="宋体" w:eastAsia="宋体"/>
      <w:position w:val="-24"/>
      <w:sz w:val="21"/>
    </w:rPr>
  </w:style>
  <w:style w:type="paragraph" w:customStyle="1" w:styleId="9">
    <w:name w:val="表格文字2"/>
    <w:basedOn w:val="1"/>
    <w:qFormat/>
    <w:uiPriority w:val="0"/>
    <w:pPr>
      <w:widowControl w:val="0"/>
      <w:snapToGrid/>
      <w:spacing w:after="0" w:line="360" w:lineRule="exact"/>
      <w:jc w:val="center"/>
      <w:textAlignment w:val="baseline"/>
    </w:pPr>
    <w:rPr>
      <w:rFonts w:ascii="Times New Roman" w:hAnsi="Times New Roman" w:eastAsia="宋体" w:cs="Times New Roman"/>
      <w:sz w:val="24"/>
      <w:szCs w:val="21"/>
    </w:rPr>
  </w:style>
  <w:style w:type="character" w:customStyle="1" w:styleId="10">
    <w:name w:val="正文文本 Char1"/>
    <w:qFormat/>
    <w:uiPriority w:val="99"/>
    <w:rPr>
      <w:rFonts w:ascii="MingLiU" w:eastAsia="MingLiU" w:cs="MingLiU"/>
      <w:spacing w:val="-10"/>
      <w:sz w:val="25"/>
      <w:szCs w:val="25"/>
      <w:u w:val="none"/>
    </w:rPr>
  </w:style>
  <w:style w:type="character" w:customStyle="1" w:styleId="11">
    <w:name w:val="表格 Char"/>
    <w:link w:val="12"/>
    <w:qFormat/>
    <w:locked/>
    <w:uiPriority w:val="0"/>
    <w:rPr>
      <w:rFonts w:ascii="宋体"/>
      <w:bCs/>
      <w:sz w:val="21"/>
    </w:rPr>
  </w:style>
  <w:style w:type="paragraph" w:customStyle="1" w:styleId="12">
    <w:name w:val="表格"/>
    <w:basedOn w:val="1"/>
    <w:next w:val="1"/>
    <w:link w:val="11"/>
    <w:qFormat/>
    <w:uiPriority w:val="0"/>
    <w:pPr>
      <w:widowControl w:val="0"/>
      <w:spacing w:after="0" w:line="320" w:lineRule="exact"/>
      <w:jc w:val="center"/>
    </w:pPr>
    <w:rPr>
      <w:rFonts w:ascii="宋体" w:hAnsi="Times New Roman" w:eastAsia="宋体" w:cs="Times New Roman"/>
      <w:bCs/>
      <w:sz w:val="21"/>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1305</Words>
  <Characters>1352</Characters>
  <Lines>9</Lines>
  <Paragraphs>2</Paragraphs>
  <TotalTime>10</TotalTime>
  <ScaleCrop>false</ScaleCrop>
  <LinksUpToDate>false</LinksUpToDate>
  <CharactersWithSpaces>1357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2022-09-06T10:51:00Z</dcterms:created>
  <dc:creator>Lenovo</dc:creator>
  <cp:lastModifiedBy>lyl</cp:lastModifiedBy>
  <dcterms:modified xsi:type="dcterms:W3CDTF">2022-09-07T08:15:44Z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E53E7CCCE2EA428098480621087FD0F5</vt:lpwstr>
  </property>
</Properties>
</file>