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3F" w:rsidRPr="00F9243F" w:rsidRDefault="00F9243F" w:rsidP="0072407A">
      <w:pPr>
        <w:adjustRightInd/>
        <w:snapToGrid/>
        <w:spacing w:before="345" w:after="60" w:line="560" w:lineRule="exact"/>
        <w:jc w:val="center"/>
        <w:outlineLvl w:val="1"/>
        <w:rPr>
          <w:rFonts w:ascii="仿宋" w:eastAsia="仿宋" w:hAnsi="仿宋" w:cs="宋体"/>
          <w:b/>
          <w:color w:val="45423F"/>
          <w:sz w:val="32"/>
          <w:szCs w:val="32"/>
        </w:rPr>
      </w:pPr>
      <w:r w:rsidRPr="00F9243F">
        <w:rPr>
          <w:rFonts w:ascii="仿宋" w:eastAsia="仿宋" w:hAnsi="仿宋" w:cs="宋体" w:hint="eastAsia"/>
          <w:b/>
          <w:color w:val="45423F"/>
          <w:sz w:val="32"/>
          <w:szCs w:val="32"/>
        </w:rPr>
        <w:t>忻州市生态环境局宁武分局</w:t>
      </w:r>
    </w:p>
    <w:p w:rsidR="00F9243F" w:rsidRDefault="005F0C6C" w:rsidP="00F9243F">
      <w:pPr>
        <w:jc w:val="center"/>
        <w:rPr>
          <w:rFonts w:ascii="仿宋" w:eastAsia="仿宋" w:hAnsi="仿宋" w:cs="宋体"/>
          <w:b/>
          <w:color w:val="45423F"/>
          <w:sz w:val="32"/>
          <w:szCs w:val="32"/>
        </w:rPr>
      </w:pPr>
      <w:r w:rsidRPr="00F9243F">
        <w:rPr>
          <w:rFonts w:ascii="仿宋" w:eastAsia="仿宋" w:hAnsi="仿宋" w:cs="宋体" w:hint="eastAsia"/>
          <w:b/>
          <w:color w:val="45423F"/>
          <w:sz w:val="32"/>
          <w:szCs w:val="32"/>
        </w:rPr>
        <w:t>拟对</w:t>
      </w:r>
      <w:r w:rsidR="00F9243F" w:rsidRPr="00F9243F">
        <w:rPr>
          <w:rFonts w:ascii="仿宋" w:eastAsia="仿宋" w:hAnsi="仿宋" w:hint="eastAsia"/>
          <w:b/>
          <w:sz w:val="32"/>
          <w:szCs w:val="32"/>
        </w:rPr>
        <w:t>宁武县金泰阳能源再生利用有限公司废旧机动车拆解回收利用项目</w:t>
      </w:r>
      <w:r w:rsidRPr="00F9243F">
        <w:rPr>
          <w:rFonts w:ascii="仿宋" w:eastAsia="仿宋" w:hAnsi="仿宋" w:cs="宋体" w:hint="eastAsia"/>
          <w:b/>
          <w:color w:val="45423F"/>
          <w:sz w:val="32"/>
          <w:szCs w:val="32"/>
        </w:rPr>
        <w:t>环境影响评价文件</w:t>
      </w:r>
    </w:p>
    <w:p w:rsidR="00375AFB" w:rsidRPr="00F9243F" w:rsidRDefault="005F0C6C" w:rsidP="00F9243F">
      <w:pPr>
        <w:jc w:val="center"/>
        <w:rPr>
          <w:rFonts w:ascii="仿宋" w:eastAsia="仿宋" w:hAnsi="仿宋"/>
          <w:b/>
          <w:sz w:val="32"/>
          <w:szCs w:val="32"/>
        </w:rPr>
      </w:pPr>
      <w:r w:rsidRPr="00F9243F">
        <w:rPr>
          <w:rFonts w:ascii="仿宋" w:eastAsia="仿宋" w:hAnsi="仿宋" w:cs="宋体" w:hint="eastAsia"/>
          <w:b/>
          <w:color w:val="45423F"/>
          <w:sz w:val="32"/>
          <w:szCs w:val="32"/>
        </w:rPr>
        <w:t>审批意见的公示</w:t>
      </w:r>
    </w:p>
    <w:p w:rsidR="005F0C6C" w:rsidRPr="00265FCF" w:rsidRDefault="006A7B62" w:rsidP="0072407A">
      <w:pPr>
        <w:adjustRightInd/>
        <w:snapToGrid/>
        <w:spacing w:before="75" w:after="75" w:line="560" w:lineRule="exact"/>
        <w:jc w:val="center"/>
        <w:rPr>
          <w:rFonts w:ascii="仿宋" w:eastAsia="仿宋" w:hAnsi="仿宋" w:cs="Times New Roman"/>
          <w:color w:val="000000" w:themeColor="text1"/>
          <w:sz w:val="28"/>
          <w:szCs w:val="28"/>
        </w:rPr>
      </w:pPr>
      <w:r>
        <w:rPr>
          <w:rFonts w:asciiTheme="majorEastAsia" w:eastAsiaTheme="majorEastAsia" w:hAnsiTheme="majorEastAsia" w:cs="宋体" w:hint="eastAsia"/>
          <w:color w:val="45423F"/>
          <w:sz w:val="32"/>
          <w:szCs w:val="32"/>
        </w:rPr>
        <w:t xml:space="preserve"> </w:t>
      </w:r>
    </w:p>
    <w:tbl>
      <w:tblPr>
        <w:tblW w:w="15466" w:type="dxa"/>
        <w:tblBorders>
          <w:top w:val="single" w:sz="24" w:space="0" w:color="DCDCDC"/>
          <w:left w:val="single" w:sz="24" w:space="0" w:color="DCDCDC"/>
          <w:bottom w:val="single" w:sz="24" w:space="0" w:color="DCDCDC"/>
          <w:right w:val="single" w:sz="24" w:space="0" w:color="DCDCDC"/>
        </w:tblBorders>
        <w:tblCellMar>
          <w:left w:w="0" w:type="dxa"/>
          <w:right w:w="0" w:type="dxa"/>
        </w:tblCellMar>
        <w:tblLook w:val="04A0"/>
      </w:tblPr>
      <w:tblGrid>
        <w:gridCol w:w="543"/>
        <w:gridCol w:w="799"/>
        <w:gridCol w:w="863"/>
        <w:gridCol w:w="761"/>
        <w:gridCol w:w="927"/>
        <w:gridCol w:w="2494"/>
        <w:gridCol w:w="6844"/>
        <w:gridCol w:w="2235"/>
      </w:tblGrid>
      <w:tr w:rsidR="005F0C6C" w:rsidRPr="005F0C6C" w:rsidTr="00062B1B">
        <w:trPr>
          <w:trHeight w:val="915"/>
        </w:trPr>
        <w:tc>
          <w:tcPr>
            <w:tcW w:w="543" w:type="dxa"/>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5F0C6C" w:rsidRPr="00F9243F" w:rsidRDefault="005F0C6C" w:rsidP="005F0C6C">
            <w:pPr>
              <w:wordWrap w:val="0"/>
              <w:adjustRightInd/>
              <w:snapToGrid/>
              <w:spacing w:before="75" w:after="75" w:line="480" w:lineRule="auto"/>
              <w:rPr>
                <w:rFonts w:ascii="仿宋" w:eastAsia="仿宋" w:hAnsi="仿宋" w:cs="宋体"/>
                <w:sz w:val="24"/>
                <w:szCs w:val="24"/>
              </w:rPr>
            </w:pPr>
            <w:r w:rsidRPr="00F9243F">
              <w:rPr>
                <w:rFonts w:ascii="仿宋" w:eastAsia="仿宋" w:hAnsi="仿宋" w:cs="宋体" w:hint="eastAsia"/>
                <w:sz w:val="24"/>
                <w:szCs w:val="24"/>
              </w:rPr>
              <w:t>序号</w:t>
            </w:r>
          </w:p>
        </w:tc>
        <w:tc>
          <w:tcPr>
            <w:tcW w:w="799" w:type="dxa"/>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5F0C6C" w:rsidRPr="00F9243F" w:rsidRDefault="005F0C6C" w:rsidP="005F0C6C">
            <w:pPr>
              <w:wordWrap w:val="0"/>
              <w:adjustRightInd/>
              <w:snapToGrid/>
              <w:spacing w:before="75" w:after="75" w:line="480" w:lineRule="auto"/>
              <w:rPr>
                <w:rFonts w:ascii="仿宋" w:eastAsia="仿宋" w:hAnsi="仿宋" w:cs="宋体"/>
                <w:sz w:val="24"/>
                <w:szCs w:val="24"/>
              </w:rPr>
            </w:pPr>
            <w:r w:rsidRPr="00F9243F">
              <w:rPr>
                <w:rFonts w:ascii="仿宋" w:eastAsia="仿宋" w:hAnsi="仿宋" w:cs="宋体" w:hint="eastAsia"/>
                <w:sz w:val="24"/>
                <w:szCs w:val="24"/>
              </w:rPr>
              <w:t>项目名称</w:t>
            </w:r>
          </w:p>
        </w:tc>
        <w:tc>
          <w:tcPr>
            <w:tcW w:w="863" w:type="dxa"/>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5F0C6C" w:rsidRPr="00F9243F" w:rsidRDefault="005F0C6C" w:rsidP="005F0C6C">
            <w:pPr>
              <w:wordWrap w:val="0"/>
              <w:adjustRightInd/>
              <w:snapToGrid/>
              <w:spacing w:before="75" w:after="75" w:line="480" w:lineRule="auto"/>
              <w:rPr>
                <w:rFonts w:ascii="仿宋" w:eastAsia="仿宋" w:hAnsi="仿宋" w:cs="宋体"/>
                <w:sz w:val="24"/>
                <w:szCs w:val="24"/>
              </w:rPr>
            </w:pPr>
            <w:r w:rsidRPr="00F9243F">
              <w:rPr>
                <w:rFonts w:ascii="仿宋" w:eastAsia="仿宋" w:hAnsi="仿宋" w:cs="宋体" w:hint="eastAsia"/>
                <w:sz w:val="24"/>
                <w:szCs w:val="24"/>
              </w:rPr>
              <w:t>建设地点</w:t>
            </w:r>
          </w:p>
        </w:tc>
        <w:tc>
          <w:tcPr>
            <w:tcW w:w="761" w:type="dxa"/>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5F0C6C" w:rsidRPr="00F9243F" w:rsidRDefault="005F0C6C" w:rsidP="005F0C6C">
            <w:pPr>
              <w:wordWrap w:val="0"/>
              <w:adjustRightInd/>
              <w:snapToGrid/>
              <w:spacing w:before="75" w:after="75" w:line="480" w:lineRule="auto"/>
              <w:rPr>
                <w:rFonts w:ascii="仿宋" w:eastAsia="仿宋" w:hAnsi="仿宋" w:cs="宋体"/>
                <w:sz w:val="24"/>
                <w:szCs w:val="24"/>
              </w:rPr>
            </w:pPr>
            <w:r w:rsidRPr="00F9243F">
              <w:rPr>
                <w:rFonts w:ascii="仿宋" w:eastAsia="仿宋" w:hAnsi="仿宋" w:cs="宋体" w:hint="eastAsia"/>
                <w:sz w:val="24"/>
                <w:szCs w:val="24"/>
              </w:rPr>
              <w:t>建设单位</w:t>
            </w:r>
          </w:p>
        </w:tc>
        <w:tc>
          <w:tcPr>
            <w:tcW w:w="927" w:type="dxa"/>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5F0C6C" w:rsidRPr="00F9243F" w:rsidRDefault="005F0C6C" w:rsidP="005F0C6C">
            <w:pPr>
              <w:wordWrap w:val="0"/>
              <w:adjustRightInd/>
              <w:snapToGrid/>
              <w:spacing w:before="75" w:after="75" w:line="480" w:lineRule="auto"/>
              <w:rPr>
                <w:rFonts w:ascii="仿宋" w:eastAsia="仿宋" w:hAnsi="仿宋" w:cs="宋体"/>
                <w:sz w:val="24"/>
                <w:szCs w:val="24"/>
              </w:rPr>
            </w:pPr>
            <w:r w:rsidRPr="00F9243F">
              <w:rPr>
                <w:rFonts w:ascii="仿宋" w:eastAsia="仿宋" w:hAnsi="仿宋" w:cs="宋体" w:hint="eastAsia"/>
                <w:sz w:val="24"/>
                <w:szCs w:val="24"/>
              </w:rPr>
              <w:t>环评编制单位</w:t>
            </w:r>
          </w:p>
        </w:tc>
        <w:tc>
          <w:tcPr>
            <w:tcW w:w="2494" w:type="dxa"/>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5F0C6C" w:rsidRPr="00F9243F" w:rsidRDefault="005F0C6C" w:rsidP="005F0C6C">
            <w:pPr>
              <w:wordWrap w:val="0"/>
              <w:adjustRightInd/>
              <w:snapToGrid/>
              <w:spacing w:before="75" w:after="75" w:line="480" w:lineRule="auto"/>
              <w:rPr>
                <w:rFonts w:ascii="仿宋" w:eastAsia="仿宋" w:hAnsi="仿宋" w:cs="宋体"/>
                <w:sz w:val="24"/>
                <w:szCs w:val="24"/>
              </w:rPr>
            </w:pPr>
            <w:r w:rsidRPr="00F9243F">
              <w:rPr>
                <w:rFonts w:ascii="仿宋" w:eastAsia="仿宋" w:hAnsi="仿宋" w:cs="宋体" w:hint="eastAsia"/>
                <w:sz w:val="24"/>
                <w:szCs w:val="24"/>
              </w:rPr>
              <w:t>建设项目概况</w:t>
            </w:r>
          </w:p>
        </w:tc>
        <w:tc>
          <w:tcPr>
            <w:tcW w:w="6844" w:type="dxa"/>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5F0C6C" w:rsidRPr="00F9243F" w:rsidRDefault="005F0C6C" w:rsidP="005F0C6C">
            <w:pPr>
              <w:wordWrap w:val="0"/>
              <w:adjustRightInd/>
              <w:snapToGrid/>
              <w:spacing w:before="75" w:after="75" w:line="480" w:lineRule="auto"/>
              <w:rPr>
                <w:rFonts w:ascii="仿宋" w:eastAsia="仿宋" w:hAnsi="仿宋" w:cs="宋体"/>
                <w:sz w:val="24"/>
                <w:szCs w:val="24"/>
              </w:rPr>
            </w:pPr>
            <w:r w:rsidRPr="00F9243F">
              <w:rPr>
                <w:rFonts w:ascii="仿宋" w:eastAsia="仿宋" w:hAnsi="仿宋" w:cs="宋体" w:hint="eastAsia"/>
                <w:sz w:val="24"/>
                <w:szCs w:val="24"/>
              </w:rPr>
              <w:t>主要环境影响及预防或者减轻不良环境影响的对策和措施</w:t>
            </w:r>
          </w:p>
        </w:tc>
        <w:tc>
          <w:tcPr>
            <w:tcW w:w="2235" w:type="dxa"/>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5F0C6C" w:rsidRPr="00F9243F" w:rsidRDefault="005F0C6C" w:rsidP="00F47DCA">
            <w:pPr>
              <w:wordWrap w:val="0"/>
              <w:adjustRightInd/>
              <w:snapToGrid/>
              <w:spacing w:before="75" w:after="75" w:line="480" w:lineRule="auto"/>
              <w:rPr>
                <w:rFonts w:ascii="仿宋" w:eastAsia="仿宋" w:hAnsi="仿宋" w:cs="宋体"/>
                <w:sz w:val="24"/>
                <w:szCs w:val="24"/>
              </w:rPr>
            </w:pPr>
            <w:r w:rsidRPr="00F9243F">
              <w:rPr>
                <w:rFonts w:ascii="仿宋" w:eastAsia="仿宋" w:hAnsi="仿宋" w:cs="宋体" w:hint="eastAsia"/>
                <w:sz w:val="24"/>
                <w:szCs w:val="24"/>
              </w:rPr>
              <w:t xml:space="preserve">建设单位开展的公众参与情况 </w:t>
            </w:r>
          </w:p>
        </w:tc>
      </w:tr>
      <w:tr w:rsidR="00D7382A" w:rsidRPr="005F0C6C" w:rsidTr="00134DEA">
        <w:trPr>
          <w:trHeight w:val="1500"/>
        </w:trPr>
        <w:tc>
          <w:tcPr>
            <w:tcW w:w="543" w:type="dxa"/>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D7382A" w:rsidRPr="00D87DB4" w:rsidRDefault="00637DD4" w:rsidP="005F0C6C">
            <w:pPr>
              <w:wordWrap w:val="0"/>
              <w:adjustRightInd/>
              <w:snapToGrid/>
              <w:spacing w:before="75" w:after="75" w:line="480" w:lineRule="auto"/>
              <w:rPr>
                <w:rFonts w:ascii="仿宋" w:eastAsia="仿宋" w:hAnsi="仿宋" w:cs="宋体"/>
                <w:sz w:val="24"/>
                <w:szCs w:val="24"/>
              </w:rPr>
            </w:pPr>
            <w:r>
              <w:rPr>
                <w:rFonts w:ascii="仿宋" w:eastAsia="仿宋" w:hAnsi="仿宋" w:cs="宋体" w:hint="eastAsia"/>
                <w:sz w:val="24"/>
                <w:szCs w:val="24"/>
              </w:rPr>
              <w:t>1</w:t>
            </w:r>
          </w:p>
        </w:tc>
        <w:tc>
          <w:tcPr>
            <w:tcW w:w="799" w:type="dxa"/>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D7382A" w:rsidRPr="00D87DB4" w:rsidRDefault="00D87DB4" w:rsidP="005F0C6C">
            <w:pPr>
              <w:wordWrap w:val="0"/>
              <w:adjustRightInd/>
              <w:snapToGrid/>
              <w:spacing w:before="75" w:after="75" w:line="480" w:lineRule="auto"/>
              <w:rPr>
                <w:rFonts w:ascii="仿宋" w:eastAsia="仿宋" w:hAnsi="仿宋" w:cs="仿宋"/>
                <w:bCs/>
                <w:color w:val="000000"/>
                <w:sz w:val="24"/>
                <w:szCs w:val="24"/>
                <w:shd w:val="clear" w:color="auto" w:fill="FFFFFF"/>
              </w:rPr>
            </w:pPr>
            <w:r w:rsidRPr="00D87DB4">
              <w:rPr>
                <w:rFonts w:ascii="仿宋" w:eastAsia="仿宋" w:hAnsi="仿宋" w:hint="eastAsia"/>
                <w:sz w:val="24"/>
                <w:szCs w:val="24"/>
              </w:rPr>
              <w:t>废旧机动车拆解回收利用项目</w:t>
            </w:r>
          </w:p>
        </w:tc>
        <w:tc>
          <w:tcPr>
            <w:tcW w:w="863" w:type="dxa"/>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D7382A" w:rsidRPr="00D87DB4" w:rsidRDefault="00D87DB4" w:rsidP="00DD31C6">
            <w:pPr>
              <w:pStyle w:val="20"/>
              <w:rPr>
                <w:rFonts w:ascii="仿宋" w:eastAsia="仿宋" w:hAnsi="仿宋"/>
                <w:szCs w:val="24"/>
              </w:rPr>
            </w:pPr>
            <w:r w:rsidRPr="00D87DB4">
              <w:rPr>
                <w:rFonts w:ascii="仿宋" w:eastAsia="仿宋" w:hAnsi="仿宋" w:cs="仿宋" w:hint="eastAsia"/>
                <w:bCs/>
                <w:color w:val="000000"/>
                <w:szCs w:val="24"/>
                <w:shd w:val="clear" w:color="auto" w:fill="FFFFFF"/>
              </w:rPr>
              <w:t>宁武县凤凰镇杨庄村北</w:t>
            </w:r>
          </w:p>
        </w:tc>
        <w:tc>
          <w:tcPr>
            <w:tcW w:w="761" w:type="dxa"/>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D7382A" w:rsidRPr="00637DD4" w:rsidRDefault="00637DD4" w:rsidP="000A28E5">
            <w:pPr>
              <w:wordWrap w:val="0"/>
              <w:adjustRightInd/>
              <w:snapToGrid/>
              <w:spacing w:before="75" w:after="75" w:line="480" w:lineRule="auto"/>
              <w:rPr>
                <w:rFonts w:ascii="仿宋" w:eastAsia="仿宋" w:hAnsi="仿宋" w:cs="仿宋"/>
                <w:bCs/>
                <w:color w:val="000000"/>
                <w:sz w:val="24"/>
                <w:szCs w:val="24"/>
                <w:shd w:val="clear" w:color="auto" w:fill="FFFFFF"/>
              </w:rPr>
            </w:pPr>
            <w:r w:rsidRPr="00637DD4">
              <w:rPr>
                <w:rFonts w:ascii="仿宋" w:eastAsia="仿宋" w:hAnsi="仿宋" w:hint="eastAsia"/>
                <w:sz w:val="24"/>
                <w:szCs w:val="24"/>
              </w:rPr>
              <w:t>宁武县金泰阳能源再生利用有限</w:t>
            </w:r>
            <w:r w:rsidRPr="00637DD4">
              <w:rPr>
                <w:rFonts w:ascii="仿宋" w:eastAsia="仿宋" w:hAnsi="仿宋" w:hint="eastAsia"/>
                <w:sz w:val="24"/>
                <w:szCs w:val="24"/>
              </w:rPr>
              <w:lastRenderedPageBreak/>
              <w:t>公司</w:t>
            </w:r>
          </w:p>
        </w:tc>
        <w:tc>
          <w:tcPr>
            <w:tcW w:w="927" w:type="dxa"/>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D7382A" w:rsidRPr="00637DD4" w:rsidRDefault="002274F5" w:rsidP="00637DD4">
            <w:pPr>
              <w:wordWrap w:val="0"/>
              <w:adjustRightInd/>
              <w:snapToGrid/>
              <w:spacing w:before="75" w:after="75" w:line="480" w:lineRule="auto"/>
              <w:rPr>
                <w:rFonts w:ascii="仿宋" w:eastAsia="仿宋" w:hAnsi="仿宋"/>
                <w:sz w:val="24"/>
                <w:szCs w:val="24"/>
              </w:rPr>
            </w:pPr>
            <w:r w:rsidRPr="00637DD4">
              <w:rPr>
                <w:rFonts w:ascii="仿宋" w:eastAsia="仿宋" w:hAnsi="仿宋" w:hint="eastAsia"/>
                <w:sz w:val="24"/>
                <w:szCs w:val="24"/>
              </w:rPr>
              <w:lastRenderedPageBreak/>
              <w:t>山西</w:t>
            </w:r>
            <w:r w:rsidR="00637DD4" w:rsidRPr="00637DD4">
              <w:rPr>
                <w:rFonts w:ascii="仿宋" w:eastAsia="仿宋" w:hAnsi="仿宋" w:cs="宋体" w:hint="eastAsia"/>
                <w:color w:val="45423F"/>
                <w:sz w:val="24"/>
                <w:szCs w:val="24"/>
              </w:rPr>
              <w:t>晶翌环保科技有限公司</w:t>
            </w:r>
          </w:p>
        </w:tc>
        <w:tc>
          <w:tcPr>
            <w:tcW w:w="2494" w:type="dxa"/>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D7382A" w:rsidRPr="00343EF6" w:rsidRDefault="00A47C17" w:rsidP="00637DD4">
            <w:pPr>
              <w:spacing w:line="490" w:lineRule="exact"/>
              <w:rPr>
                <w:rFonts w:ascii="仿宋" w:eastAsia="仿宋" w:hAnsi="仿宋" w:cs="宋体"/>
                <w:sz w:val="24"/>
                <w:szCs w:val="24"/>
              </w:rPr>
            </w:pPr>
            <w:r w:rsidRPr="00343EF6">
              <w:rPr>
                <w:rFonts w:ascii="仿宋" w:eastAsia="仿宋" w:hAnsi="仿宋" w:cs="仿宋" w:hint="eastAsia"/>
                <w:bCs/>
                <w:color w:val="000000"/>
                <w:sz w:val="24"/>
                <w:szCs w:val="24"/>
                <w:shd w:val="clear" w:color="auto" w:fill="FFFFFF"/>
              </w:rPr>
              <w:t>主要建设内容有：</w:t>
            </w:r>
            <w:r w:rsidR="00D87DB4" w:rsidRPr="00343EF6">
              <w:rPr>
                <w:rFonts w:ascii="仿宋" w:eastAsia="仿宋" w:hAnsi="仿宋" w:cs="仿宋" w:hint="eastAsia"/>
                <w:bCs/>
                <w:color w:val="000000"/>
                <w:sz w:val="24"/>
                <w:szCs w:val="24"/>
                <w:shd w:val="clear" w:color="auto" w:fill="FFFFFF"/>
              </w:rPr>
              <w:t>1、彩钢结构废旧汽</w:t>
            </w:r>
            <w:r w:rsidR="00343EF6" w:rsidRPr="00343EF6">
              <w:rPr>
                <w:rFonts w:ascii="仿宋" w:eastAsia="仿宋" w:hAnsi="仿宋" w:cs="仿宋" w:hint="eastAsia"/>
                <w:bCs/>
                <w:color w:val="000000"/>
                <w:sz w:val="24"/>
                <w:szCs w:val="24"/>
                <w:shd w:val="clear" w:color="auto" w:fill="FFFFFF"/>
              </w:rPr>
              <w:t>内部分为：拆解区、安全气囊引爆车间、废品区、金属分类区、零部件暂存区、液体分类区。车间内设汽车拆解线一条，布设废液抽取机、废液回收</w:t>
            </w:r>
            <w:r w:rsidR="00343EF6" w:rsidRPr="00343EF6">
              <w:rPr>
                <w:rFonts w:ascii="仿宋" w:eastAsia="仿宋" w:hAnsi="仿宋" w:cs="仿宋" w:hint="eastAsia"/>
                <w:bCs/>
                <w:color w:val="000000"/>
                <w:sz w:val="24"/>
                <w:szCs w:val="24"/>
                <w:shd w:val="clear" w:color="auto" w:fill="FFFFFF"/>
              </w:rPr>
              <w:lastRenderedPageBreak/>
              <w:t>机、制冷剂收集器、、液压剪、升降、压块等设备； 2、报废汽车仓储区，占地6000平方米，场地进行硬化防渗处理，四周设围堰，为半封闭堆场； 3、危险废物暂存库，建筑面积300平方米，地面进行硬化防渗防腐处理；动力蓄电池暂存库300平方米，</w:t>
            </w:r>
            <w:r w:rsidR="00343EF6" w:rsidRPr="00343EF6">
              <w:rPr>
                <w:rFonts w:ascii="仿宋" w:eastAsia="仿宋" w:hAnsi="仿宋" w:cs="仿宋" w:hint="eastAsia"/>
                <w:bCs/>
                <w:color w:val="FF0000"/>
                <w:sz w:val="24"/>
                <w:szCs w:val="24"/>
                <w:shd w:val="clear" w:color="auto" w:fill="FFFFFF"/>
              </w:rPr>
              <w:t>一般固废暂存间300平方米；</w:t>
            </w:r>
            <w:r w:rsidR="00343EF6" w:rsidRPr="00343EF6">
              <w:rPr>
                <w:rFonts w:ascii="仿宋" w:eastAsia="仿宋" w:hAnsi="仿宋" w:cs="仿宋" w:hint="eastAsia"/>
                <w:bCs/>
                <w:color w:val="000000"/>
                <w:sz w:val="24"/>
                <w:szCs w:val="24"/>
                <w:shd w:val="clear" w:color="auto" w:fill="FFFFFF"/>
              </w:rPr>
              <w:t>附属设施包括办公楼、门房、供电、厂区硬化等。建设规模为年拆解废旧</w:t>
            </w:r>
            <w:r w:rsidR="00343EF6" w:rsidRPr="00343EF6">
              <w:rPr>
                <w:rFonts w:ascii="仿宋" w:eastAsia="仿宋" w:hAnsi="仿宋" w:cs="仿宋" w:hint="eastAsia"/>
                <w:bCs/>
                <w:color w:val="000000"/>
                <w:sz w:val="24"/>
                <w:szCs w:val="24"/>
                <w:shd w:val="clear" w:color="auto" w:fill="FFFFFF"/>
              </w:rPr>
              <w:lastRenderedPageBreak/>
              <w:t>汽车10000辆，其中小型车7800辆，新能源汽车2000辆，大型车200辆。项目机动车拆解工艺流程必须严格按照《报废机动车回收拆解企业技术规范》（GB22128-2019）和《报废机动车回收拆解环境保护建设规范》（HJ348-2007）的相关规定执行。项目总投资5000万元，其中环保投资99.5万元。</w:t>
            </w:r>
            <w:r w:rsidR="00343EF6" w:rsidRPr="00343EF6">
              <w:rPr>
                <w:rFonts w:ascii="仿宋" w:eastAsia="仿宋" w:hAnsi="仿宋" w:hint="eastAsia"/>
                <w:sz w:val="24"/>
                <w:szCs w:val="24"/>
              </w:rPr>
              <w:t>宁武县行政审批服务管理局出具了该项目的备案证（项目代码：2105-</w:t>
            </w:r>
            <w:r w:rsidR="00343EF6" w:rsidRPr="00343EF6">
              <w:rPr>
                <w:rFonts w:ascii="仿宋" w:eastAsia="仿宋" w:hAnsi="仿宋" w:hint="eastAsia"/>
                <w:sz w:val="24"/>
                <w:szCs w:val="24"/>
              </w:rPr>
              <w:lastRenderedPageBreak/>
              <w:t>140925-89-05-814521）。</w:t>
            </w:r>
            <w:r w:rsidR="00343EF6" w:rsidRPr="00343EF6">
              <w:rPr>
                <w:rFonts w:ascii="仿宋" w:eastAsia="仿宋" w:hAnsi="仿宋" w:cs="仿宋" w:hint="eastAsia"/>
                <w:bCs/>
                <w:color w:val="000000"/>
                <w:sz w:val="24"/>
                <w:szCs w:val="24"/>
                <w:shd w:val="clear" w:color="auto" w:fill="FFFFFF"/>
              </w:rPr>
              <w:t>项目建设符合国家和地方产业政策、宁武县城市总体规划。</w:t>
            </w:r>
          </w:p>
        </w:tc>
        <w:tc>
          <w:tcPr>
            <w:tcW w:w="6844" w:type="dxa"/>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343EF6" w:rsidRPr="00343EF6" w:rsidRDefault="00343EF6" w:rsidP="00343EF6">
            <w:pPr>
              <w:shd w:val="solid" w:color="FFFFFF" w:fill="auto"/>
              <w:autoSpaceDN w:val="0"/>
              <w:spacing w:line="520" w:lineRule="exact"/>
              <w:ind w:firstLineChars="150" w:firstLine="360"/>
              <w:rPr>
                <w:rFonts w:ascii="仿宋" w:eastAsia="仿宋" w:hAnsi="仿宋" w:cs="仿宋"/>
                <w:bCs/>
                <w:color w:val="000000"/>
                <w:sz w:val="24"/>
                <w:szCs w:val="24"/>
                <w:shd w:val="clear" w:color="auto" w:fill="FFFFFF"/>
              </w:rPr>
            </w:pPr>
            <w:r w:rsidRPr="00343EF6">
              <w:rPr>
                <w:rFonts w:ascii="仿宋" w:eastAsia="仿宋" w:hAnsi="仿宋" w:cs="仿宋" w:hint="eastAsia"/>
                <w:bCs/>
                <w:color w:val="000000"/>
                <w:sz w:val="24"/>
                <w:szCs w:val="24"/>
                <w:shd w:val="clear" w:color="auto" w:fill="FFFFFF"/>
              </w:rPr>
              <w:lastRenderedPageBreak/>
              <w:t>（一） 严格落实施工期污水、扬尘、噪声、固废等污染防治措施。严格落实《报告表》各项污染防治措施。施工废水、生活污水经沉淀处理后，用于施工现场洒水降尘，不得外排；施工场地采取边界围挡、物料遮盖、定期洒水降尘、运输车辆加盖篷布等措施减少扬尘；禁止夜间施工，建筑施工场地噪声应满足《建筑施工场界噪声排放标准》（GB12523-2011）要求，建筑垃圾、工程弃渣和生活垃圾分类收集并合理处置；采取合理施工方案，减少施工场地和道路两侧植被破坏，及时做</w:t>
            </w:r>
            <w:r w:rsidRPr="00343EF6">
              <w:rPr>
                <w:rFonts w:ascii="仿宋" w:eastAsia="仿宋" w:hAnsi="仿宋" w:cs="仿宋" w:hint="eastAsia"/>
                <w:bCs/>
                <w:color w:val="000000"/>
                <w:sz w:val="24"/>
                <w:szCs w:val="24"/>
                <w:shd w:val="clear" w:color="auto" w:fill="FFFFFF"/>
              </w:rPr>
              <w:lastRenderedPageBreak/>
              <w:t>好生态恢复与道路沿线绿化工作。</w:t>
            </w:r>
          </w:p>
          <w:p w:rsidR="00343EF6" w:rsidRPr="00343EF6" w:rsidRDefault="00343EF6" w:rsidP="00343EF6">
            <w:pPr>
              <w:shd w:val="solid" w:color="FFFFFF" w:fill="auto"/>
              <w:autoSpaceDN w:val="0"/>
              <w:spacing w:line="580" w:lineRule="exact"/>
              <w:rPr>
                <w:rFonts w:ascii="仿宋" w:eastAsia="仿宋" w:hAnsi="仿宋" w:cs="仿宋"/>
                <w:bCs/>
                <w:color w:val="000000"/>
                <w:sz w:val="24"/>
                <w:szCs w:val="24"/>
                <w:shd w:val="clear" w:color="auto" w:fill="FFFFFF"/>
              </w:rPr>
            </w:pPr>
            <w:r w:rsidRPr="00343EF6">
              <w:rPr>
                <w:rFonts w:ascii="仿宋" w:eastAsia="仿宋" w:hAnsi="仿宋" w:cs="仿宋" w:hint="eastAsia"/>
                <w:bCs/>
                <w:color w:val="000000"/>
                <w:sz w:val="24"/>
                <w:szCs w:val="24"/>
                <w:shd w:val="clear" w:color="auto" w:fill="FFFFFF"/>
              </w:rPr>
              <w:t xml:space="preserve">   （二）落实运营期大气污染防治措施。拆解预处理、压实、切割烟尘工序，配置移动集尘罩，经配套的集气罩+布袋除尘器+15米高排气筒排放；挥发性有机废气、制冷剂废气经集气罩+活性炭吸附+15米高排气筒排放，排放标准应满足《大气污染物综合排放标准》（GB16297-1996）二级标准要求；无组织排放非甲烷总烃须满足《挥发性有机物无组织排放控制标准》（GB37822—2019）无组织排放标准；餐饮油烟满足《饮食业油烟排放标准》（GB/18483—2001）中的小型灶头标准；冬季采暖采用电暖气。  </w:t>
            </w:r>
          </w:p>
          <w:p w:rsidR="00343EF6" w:rsidRPr="00343EF6" w:rsidRDefault="00343EF6" w:rsidP="00343EF6">
            <w:pPr>
              <w:shd w:val="solid" w:color="FFFFFF" w:fill="auto"/>
              <w:autoSpaceDN w:val="0"/>
              <w:spacing w:line="580" w:lineRule="exact"/>
              <w:rPr>
                <w:rFonts w:ascii="仿宋" w:eastAsia="仿宋" w:hAnsi="仿宋" w:cs="仿宋"/>
                <w:bCs/>
                <w:color w:val="000000"/>
                <w:sz w:val="24"/>
                <w:szCs w:val="24"/>
                <w:shd w:val="clear" w:color="auto" w:fill="FFFFFF"/>
              </w:rPr>
            </w:pPr>
            <w:r w:rsidRPr="00343EF6">
              <w:rPr>
                <w:rFonts w:ascii="仿宋" w:eastAsia="仿宋" w:hAnsi="仿宋" w:cs="仿宋" w:hint="eastAsia"/>
                <w:bCs/>
                <w:color w:val="000000"/>
                <w:sz w:val="24"/>
                <w:szCs w:val="24"/>
                <w:shd w:val="clear" w:color="auto" w:fill="FFFFFF"/>
              </w:rPr>
              <w:t xml:space="preserve">   （三）落实运营期污废水处理措施。生活污水经隔油池+化粪池处理后全部回用；车间地面冲洗废水经油水分离+气浮+沉淀+过滤工艺处理，处理能力为10立方米/d,废水处理水质必须满足《城市污水再利用工业用水水质》回用水标准后全部回用，严禁外排。厂区设置30立方米废水收集池和25立方米事故</w:t>
            </w:r>
            <w:r w:rsidRPr="00343EF6">
              <w:rPr>
                <w:rFonts w:ascii="仿宋" w:eastAsia="仿宋" w:hAnsi="仿宋" w:cs="仿宋" w:hint="eastAsia"/>
                <w:bCs/>
                <w:color w:val="000000"/>
                <w:sz w:val="24"/>
                <w:szCs w:val="24"/>
                <w:shd w:val="clear" w:color="auto" w:fill="FFFFFF"/>
              </w:rPr>
              <w:lastRenderedPageBreak/>
              <w:t>池，确保废水不外排。在厂区最低处建设1座150立方米的防渗结构初期雨水收集池，收集沉淀后用于厂区洒水降尘，不得外排。</w:t>
            </w:r>
          </w:p>
          <w:p w:rsidR="00343EF6" w:rsidRPr="00343EF6" w:rsidRDefault="00343EF6" w:rsidP="00343EF6">
            <w:pPr>
              <w:shd w:val="solid" w:color="FFFFFF" w:fill="auto"/>
              <w:autoSpaceDN w:val="0"/>
              <w:spacing w:line="580" w:lineRule="exact"/>
              <w:rPr>
                <w:rFonts w:ascii="仿宋" w:eastAsia="仿宋" w:hAnsi="仿宋" w:cs="仿宋"/>
                <w:bCs/>
                <w:color w:val="000000"/>
                <w:sz w:val="24"/>
                <w:szCs w:val="24"/>
                <w:shd w:val="clear" w:color="auto" w:fill="FFFFFF"/>
              </w:rPr>
            </w:pPr>
            <w:r w:rsidRPr="00343EF6">
              <w:rPr>
                <w:rFonts w:ascii="仿宋" w:eastAsia="仿宋" w:hAnsi="仿宋" w:cs="仿宋" w:hint="eastAsia"/>
                <w:bCs/>
                <w:color w:val="000000"/>
                <w:sz w:val="24"/>
                <w:szCs w:val="24"/>
                <w:shd w:val="clear" w:color="auto" w:fill="FFFFFF"/>
              </w:rPr>
              <w:t xml:space="preserve">   （四）落实运营期固体废物污染防治措施。设置合理数量的垃圾回收箱，推行垃圾分类收集，由当地环卫部门集中处理，按照一般工业固体废物执行《一般工业固体废物贮存、处置场污染控制标准》及（2013修改单）（GB18599—2001）中相关标准。危险废物严格执行《危险废物贮存污染控制标准》（GB18599—2001）及（2013修改单）中相关标准，暂存于厂区内，厂区设置300平方米危废暂存库和300平方米一般固废暂存间，暂存场所必须做好耐腐蚀 、防渗漏处理，危废容器粘帖规范标签，建立规范要求的管理台账。</w:t>
            </w:r>
          </w:p>
          <w:p w:rsidR="00343EF6" w:rsidRPr="00343EF6" w:rsidRDefault="00343EF6" w:rsidP="00343EF6">
            <w:pPr>
              <w:shd w:val="solid" w:color="FFFFFF" w:fill="auto"/>
              <w:autoSpaceDN w:val="0"/>
              <w:spacing w:line="580" w:lineRule="exact"/>
              <w:rPr>
                <w:rFonts w:ascii="仿宋" w:eastAsia="仿宋" w:hAnsi="仿宋" w:cs="仿宋"/>
                <w:bCs/>
                <w:color w:val="000000"/>
                <w:sz w:val="24"/>
                <w:szCs w:val="24"/>
                <w:shd w:val="clear" w:color="auto" w:fill="FFFFFF"/>
              </w:rPr>
            </w:pPr>
            <w:r w:rsidRPr="00343EF6">
              <w:rPr>
                <w:rFonts w:ascii="仿宋" w:eastAsia="仿宋" w:hAnsi="仿宋" w:cs="仿宋" w:hint="eastAsia"/>
                <w:bCs/>
                <w:color w:val="000000"/>
                <w:sz w:val="24"/>
                <w:szCs w:val="24"/>
                <w:shd w:val="clear" w:color="auto" w:fill="FFFFFF"/>
              </w:rPr>
              <w:t xml:space="preserve">  （五） 落实运营期噪声污染防治措施。生产车间采用基础减震、厂房隔音等措施；厂区加强进出车辆管理,降低汽车噪音对</w:t>
            </w:r>
            <w:r w:rsidRPr="00343EF6">
              <w:rPr>
                <w:rFonts w:ascii="仿宋" w:eastAsia="仿宋" w:hAnsi="仿宋" w:cs="仿宋" w:hint="eastAsia"/>
                <w:bCs/>
                <w:color w:val="000000"/>
                <w:sz w:val="24"/>
                <w:szCs w:val="24"/>
                <w:shd w:val="clear" w:color="auto" w:fill="FFFFFF"/>
              </w:rPr>
              <w:lastRenderedPageBreak/>
              <w:t>环境的影响，</w:t>
            </w:r>
            <w:r w:rsidRPr="00343EF6">
              <w:rPr>
                <w:rFonts w:ascii="仿宋" w:eastAsia="仿宋" w:hAnsi="仿宋" w:cs="华文宋体" w:hint="eastAsia"/>
                <w:sz w:val="24"/>
                <w:szCs w:val="24"/>
              </w:rPr>
              <w:t>确保场界噪声须满足《工业企业厂界环境噪声排放标准》（CB12348-2008）中2类标准 。</w:t>
            </w:r>
          </w:p>
          <w:p w:rsidR="00343EF6" w:rsidRPr="00343EF6" w:rsidRDefault="00343EF6" w:rsidP="00343EF6">
            <w:pPr>
              <w:shd w:val="solid" w:color="FFFFFF" w:fill="auto"/>
              <w:autoSpaceDN w:val="0"/>
              <w:spacing w:line="580" w:lineRule="exact"/>
              <w:rPr>
                <w:rFonts w:ascii="仿宋" w:eastAsia="仿宋" w:hAnsi="仿宋" w:cs="仿宋"/>
                <w:bCs/>
                <w:color w:val="000000"/>
                <w:sz w:val="24"/>
                <w:szCs w:val="24"/>
                <w:shd w:val="clear" w:color="auto" w:fill="FFFFFF"/>
              </w:rPr>
            </w:pPr>
            <w:r w:rsidRPr="00343EF6">
              <w:rPr>
                <w:rFonts w:ascii="仿宋" w:eastAsia="仿宋" w:hAnsi="仿宋" w:cs="仿宋" w:hint="eastAsia"/>
                <w:bCs/>
                <w:color w:val="000000"/>
                <w:sz w:val="24"/>
                <w:szCs w:val="24"/>
                <w:shd w:val="clear" w:color="auto" w:fill="FFFFFF"/>
              </w:rPr>
              <w:t xml:space="preserve">   （六） 落实土壤及地下水的污染防治措施。严格按照《报告表》中提出的防渗分区措施表，做好厂区分区防渗措施，对重点区进行重点防渗处理，确保周围水体、土壤的生态环境安全。</w:t>
            </w:r>
          </w:p>
          <w:p w:rsidR="00343EF6" w:rsidRPr="00343EF6" w:rsidRDefault="00343EF6" w:rsidP="00343EF6">
            <w:pPr>
              <w:spacing w:line="520" w:lineRule="exact"/>
              <w:ind w:firstLineChars="200" w:firstLine="480"/>
              <w:rPr>
                <w:rFonts w:ascii="仿宋" w:eastAsia="仿宋" w:hAnsi="仿宋"/>
                <w:sz w:val="24"/>
                <w:szCs w:val="24"/>
              </w:rPr>
            </w:pPr>
            <w:r w:rsidRPr="00343EF6">
              <w:rPr>
                <w:rFonts w:ascii="仿宋" w:eastAsia="仿宋" w:hAnsi="仿宋" w:cs="仿宋" w:hint="eastAsia"/>
                <w:bCs/>
                <w:color w:val="000000"/>
                <w:sz w:val="24"/>
                <w:szCs w:val="24"/>
                <w:shd w:val="clear" w:color="auto" w:fill="FFFFFF"/>
              </w:rPr>
              <w:t>（七）</w:t>
            </w:r>
            <w:r w:rsidRPr="00343EF6">
              <w:rPr>
                <w:rFonts w:ascii="仿宋" w:eastAsia="仿宋" w:hAnsi="仿宋" w:hint="eastAsia"/>
                <w:sz w:val="24"/>
                <w:szCs w:val="24"/>
              </w:rPr>
              <w:t xml:space="preserve"> 项目污染物排放必须控制在忻州市生态环境局宁武分局建设项目主要污染物总量核定指标：粉尘0.072t/a。</w:t>
            </w:r>
          </w:p>
          <w:p w:rsidR="00343EF6" w:rsidRPr="00343EF6" w:rsidRDefault="00343EF6" w:rsidP="00343EF6">
            <w:pPr>
              <w:shd w:val="solid" w:color="FFFFFF" w:fill="auto"/>
              <w:autoSpaceDN w:val="0"/>
              <w:spacing w:line="580" w:lineRule="exact"/>
              <w:ind w:firstLineChars="200" w:firstLine="480"/>
              <w:rPr>
                <w:rFonts w:ascii="仿宋" w:eastAsia="仿宋" w:hAnsi="仿宋" w:cs="宋体"/>
                <w:bCs/>
                <w:color w:val="000000"/>
                <w:sz w:val="24"/>
                <w:szCs w:val="24"/>
                <w:shd w:val="clear" w:color="auto" w:fill="FFFFFF"/>
              </w:rPr>
            </w:pPr>
            <w:r w:rsidRPr="00343EF6">
              <w:rPr>
                <w:rFonts w:ascii="仿宋" w:eastAsia="仿宋" w:hAnsi="仿宋" w:cs="仿宋" w:hint="eastAsia"/>
                <w:bCs/>
                <w:color w:val="000000"/>
                <w:sz w:val="24"/>
                <w:szCs w:val="24"/>
                <w:shd w:val="clear" w:color="auto" w:fill="FFFFFF"/>
              </w:rPr>
              <w:t>（八）</w:t>
            </w:r>
            <w:r w:rsidRPr="00343EF6">
              <w:rPr>
                <w:rFonts w:ascii="仿宋" w:eastAsia="仿宋" w:hAnsi="仿宋" w:cs="宋体" w:hint="eastAsia"/>
                <w:bCs/>
                <w:color w:val="000000"/>
                <w:sz w:val="24"/>
                <w:szCs w:val="24"/>
                <w:shd w:val="clear" w:color="auto" w:fill="FFFFFF"/>
              </w:rPr>
              <w:t>加强生态保护，落实《报告表》提出的生态保护措施，保证项目区绿化措施的实施，严禁占用规划绿化用地，加强绿化、美化工作,确保绿化面积达到设计要求。</w:t>
            </w:r>
          </w:p>
          <w:p w:rsidR="00343EF6" w:rsidRPr="00343EF6" w:rsidRDefault="00343EF6" w:rsidP="00343EF6">
            <w:pPr>
              <w:spacing w:line="520" w:lineRule="exact"/>
              <w:ind w:firstLineChars="200" w:firstLine="480"/>
              <w:rPr>
                <w:rFonts w:ascii="仿宋" w:eastAsia="仿宋" w:hAnsi="仿宋"/>
                <w:sz w:val="24"/>
                <w:szCs w:val="24"/>
              </w:rPr>
            </w:pPr>
            <w:r w:rsidRPr="00343EF6">
              <w:rPr>
                <w:rFonts w:ascii="仿宋" w:eastAsia="仿宋" w:hAnsi="仿宋" w:cs="仿宋" w:hint="eastAsia"/>
                <w:bCs/>
                <w:color w:val="000000"/>
                <w:sz w:val="24"/>
                <w:szCs w:val="24"/>
                <w:shd w:val="clear" w:color="auto" w:fill="FFFFFF"/>
              </w:rPr>
              <w:t>（九）</w:t>
            </w:r>
            <w:r w:rsidRPr="00343EF6">
              <w:rPr>
                <w:rFonts w:ascii="仿宋" w:eastAsia="仿宋" w:hAnsi="仿宋" w:hint="eastAsia"/>
                <w:sz w:val="24"/>
                <w:szCs w:val="24"/>
              </w:rPr>
              <w:t>严格落实各项环境风险防范措施。建立健全各项环境管理制度，强化环境风险防范工作，制定运营期规范有效的环境风险应急预案，提高环境风险防范意识与应急能力，定期</w:t>
            </w:r>
            <w:r w:rsidRPr="00343EF6">
              <w:rPr>
                <w:rFonts w:ascii="仿宋" w:eastAsia="仿宋" w:hAnsi="仿宋" w:hint="eastAsia"/>
                <w:sz w:val="24"/>
                <w:szCs w:val="24"/>
              </w:rPr>
              <w:lastRenderedPageBreak/>
              <w:t>开展环境风险的应急演练，确保环境安全。</w:t>
            </w:r>
          </w:p>
          <w:p w:rsidR="00D7382A" w:rsidRPr="00343EF6" w:rsidRDefault="00D7382A" w:rsidP="00134DEA">
            <w:pPr>
              <w:spacing w:line="520" w:lineRule="exact"/>
              <w:ind w:firstLineChars="200" w:firstLine="480"/>
              <w:rPr>
                <w:rFonts w:ascii="仿宋" w:eastAsia="仿宋" w:hAnsi="仿宋"/>
                <w:sz w:val="24"/>
                <w:szCs w:val="24"/>
              </w:rPr>
            </w:pPr>
          </w:p>
        </w:tc>
        <w:tc>
          <w:tcPr>
            <w:tcW w:w="2235" w:type="dxa"/>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D7382A" w:rsidRDefault="00D7382A" w:rsidP="005F0C6C">
            <w:pPr>
              <w:wordWrap w:val="0"/>
              <w:adjustRightInd/>
              <w:snapToGrid/>
              <w:spacing w:before="75" w:after="75" w:line="480" w:lineRule="auto"/>
              <w:rPr>
                <w:rFonts w:ascii="宋体" w:eastAsia="宋体" w:hAnsi="宋体" w:cs="宋体"/>
                <w:sz w:val="24"/>
                <w:szCs w:val="24"/>
              </w:rPr>
            </w:pPr>
          </w:p>
        </w:tc>
      </w:tr>
      <w:tr w:rsidR="00DD31C6" w:rsidRPr="005F0C6C" w:rsidTr="005B61D0">
        <w:trPr>
          <w:trHeight w:val="525"/>
        </w:trPr>
        <w:tc>
          <w:tcPr>
            <w:tcW w:w="15466" w:type="dxa"/>
            <w:gridSpan w:val="8"/>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DD31C6" w:rsidRPr="005F0C6C" w:rsidRDefault="00C66872" w:rsidP="005F0C6C">
            <w:pPr>
              <w:wordWrap w:val="0"/>
              <w:adjustRightInd/>
              <w:snapToGrid/>
              <w:spacing w:before="75" w:after="75" w:line="480" w:lineRule="auto"/>
              <w:rPr>
                <w:rFonts w:ascii="宋体" w:eastAsia="宋体" w:hAnsi="宋体" w:cs="宋体"/>
                <w:sz w:val="24"/>
                <w:szCs w:val="24"/>
              </w:rPr>
            </w:pPr>
            <w:r>
              <w:rPr>
                <w:rFonts w:ascii="宋体" w:eastAsia="宋体" w:hAnsi="宋体" w:cs="宋体" w:hint="eastAsia"/>
                <w:sz w:val="24"/>
                <w:szCs w:val="24"/>
              </w:rPr>
              <w:lastRenderedPageBreak/>
              <w:t>听证权利告知：依据《中华人民共和国行政许可法》，自公示起3</w:t>
            </w:r>
            <w:r w:rsidR="00DD31C6" w:rsidRPr="005F0C6C">
              <w:rPr>
                <w:rFonts w:ascii="宋体" w:eastAsia="宋体" w:hAnsi="宋体" w:cs="宋体" w:hint="eastAsia"/>
                <w:sz w:val="24"/>
                <w:szCs w:val="24"/>
              </w:rPr>
              <w:t>日内申请人、利害关系人可提出听证申请。</w:t>
            </w:r>
          </w:p>
        </w:tc>
      </w:tr>
      <w:tr w:rsidR="00DD31C6" w:rsidRPr="005F0C6C" w:rsidTr="005B61D0">
        <w:trPr>
          <w:trHeight w:val="570"/>
        </w:trPr>
        <w:tc>
          <w:tcPr>
            <w:tcW w:w="15466" w:type="dxa"/>
            <w:gridSpan w:val="8"/>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DD31C6" w:rsidRPr="005F0C6C" w:rsidRDefault="00DD31C6" w:rsidP="00963521">
            <w:pPr>
              <w:wordWrap w:val="0"/>
              <w:adjustRightInd/>
              <w:snapToGrid/>
              <w:spacing w:before="75" w:after="75" w:line="480" w:lineRule="auto"/>
              <w:rPr>
                <w:rFonts w:ascii="宋体" w:eastAsia="宋体" w:hAnsi="宋体" w:cs="宋体"/>
                <w:sz w:val="24"/>
                <w:szCs w:val="24"/>
              </w:rPr>
            </w:pPr>
            <w:r w:rsidRPr="005F0C6C">
              <w:rPr>
                <w:rFonts w:ascii="宋体" w:eastAsia="宋体" w:hAnsi="宋体" w:cs="宋体" w:hint="eastAsia"/>
                <w:sz w:val="24"/>
                <w:szCs w:val="24"/>
              </w:rPr>
              <w:t>公众反馈意见联系电话：忻州市</w:t>
            </w:r>
            <w:r>
              <w:rPr>
                <w:rFonts w:ascii="宋体" w:eastAsia="宋体" w:hAnsi="宋体" w:cs="宋体" w:hint="eastAsia"/>
                <w:sz w:val="24"/>
                <w:szCs w:val="24"/>
              </w:rPr>
              <w:t>生态环境局宁武分局</w:t>
            </w:r>
            <w:r w:rsidRPr="005F0C6C">
              <w:rPr>
                <w:rFonts w:ascii="宋体" w:eastAsia="宋体" w:hAnsi="宋体" w:cs="宋体" w:hint="eastAsia"/>
                <w:sz w:val="24"/>
                <w:szCs w:val="24"/>
              </w:rPr>
              <w:t xml:space="preserve"> 0350-</w:t>
            </w:r>
            <w:r>
              <w:rPr>
                <w:rFonts w:ascii="宋体" w:eastAsia="宋体" w:hAnsi="宋体" w:cs="宋体" w:hint="eastAsia"/>
                <w:sz w:val="24"/>
                <w:szCs w:val="24"/>
              </w:rPr>
              <w:t>4722144</w:t>
            </w:r>
          </w:p>
        </w:tc>
      </w:tr>
      <w:tr w:rsidR="00DD31C6" w:rsidRPr="005F0C6C" w:rsidTr="005B61D0">
        <w:trPr>
          <w:trHeight w:val="465"/>
        </w:trPr>
        <w:tc>
          <w:tcPr>
            <w:tcW w:w="15466" w:type="dxa"/>
            <w:gridSpan w:val="8"/>
            <w:tcBorders>
              <w:top w:val="single" w:sz="24" w:space="0" w:color="DCDCDC"/>
              <w:left w:val="single" w:sz="24" w:space="0" w:color="DCDCDC"/>
              <w:bottom w:val="single" w:sz="24" w:space="0" w:color="DCDCDC"/>
              <w:right w:val="single" w:sz="24" w:space="0" w:color="DCDCDC"/>
            </w:tcBorders>
            <w:tcMar>
              <w:top w:w="0" w:type="dxa"/>
              <w:left w:w="150" w:type="dxa"/>
              <w:bottom w:w="0" w:type="dxa"/>
              <w:right w:w="0" w:type="dxa"/>
            </w:tcMar>
            <w:vAlign w:val="center"/>
            <w:hideMark/>
          </w:tcPr>
          <w:p w:rsidR="00DD31C6" w:rsidRPr="005F0C6C" w:rsidRDefault="00DD31C6" w:rsidP="005F0C6C">
            <w:pPr>
              <w:wordWrap w:val="0"/>
              <w:adjustRightInd/>
              <w:snapToGrid/>
              <w:spacing w:before="75" w:after="75" w:line="480" w:lineRule="auto"/>
              <w:rPr>
                <w:rFonts w:ascii="宋体" w:eastAsia="宋体" w:hAnsi="宋体" w:cs="宋体"/>
                <w:sz w:val="24"/>
                <w:szCs w:val="24"/>
              </w:rPr>
            </w:pPr>
            <w:r w:rsidRPr="005F0C6C">
              <w:rPr>
                <w:rFonts w:ascii="宋体" w:eastAsia="宋体" w:hAnsi="宋体" w:cs="宋体" w:hint="eastAsia"/>
                <w:sz w:val="24"/>
                <w:szCs w:val="24"/>
              </w:rPr>
              <w:t>公示时间：2021年</w:t>
            </w:r>
            <w:r w:rsidR="00140D1E">
              <w:rPr>
                <w:rFonts w:ascii="宋体" w:eastAsia="宋体" w:hAnsi="宋体" w:cs="宋体" w:hint="eastAsia"/>
                <w:sz w:val="24"/>
                <w:szCs w:val="24"/>
              </w:rPr>
              <w:t>6</w:t>
            </w:r>
            <w:r w:rsidRPr="005F0C6C">
              <w:rPr>
                <w:rFonts w:ascii="宋体" w:eastAsia="宋体" w:hAnsi="宋体" w:cs="宋体" w:hint="eastAsia"/>
                <w:sz w:val="24"/>
                <w:szCs w:val="24"/>
              </w:rPr>
              <w:t>月</w:t>
            </w:r>
            <w:r w:rsidR="00134DEA">
              <w:rPr>
                <w:rFonts w:ascii="宋体" w:eastAsia="宋体" w:hAnsi="宋体" w:cs="宋体" w:hint="eastAsia"/>
                <w:sz w:val="24"/>
                <w:szCs w:val="24"/>
              </w:rPr>
              <w:t>13</w:t>
            </w:r>
            <w:r w:rsidRPr="005F0C6C">
              <w:rPr>
                <w:rFonts w:ascii="宋体" w:eastAsia="宋体" w:hAnsi="宋体" w:cs="宋体" w:hint="eastAsia"/>
                <w:sz w:val="24"/>
                <w:szCs w:val="24"/>
              </w:rPr>
              <w:t>日-2021年</w:t>
            </w:r>
            <w:r w:rsidR="00140D1E">
              <w:rPr>
                <w:rFonts w:ascii="宋体" w:eastAsia="宋体" w:hAnsi="宋体" w:cs="宋体" w:hint="eastAsia"/>
                <w:sz w:val="24"/>
                <w:szCs w:val="24"/>
              </w:rPr>
              <w:t>12</w:t>
            </w:r>
            <w:r w:rsidRPr="005F0C6C">
              <w:rPr>
                <w:rFonts w:ascii="宋体" w:eastAsia="宋体" w:hAnsi="宋体" w:cs="宋体" w:hint="eastAsia"/>
                <w:sz w:val="24"/>
                <w:szCs w:val="24"/>
              </w:rPr>
              <w:t>月</w:t>
            </w:r>
            <w:r w:rsidR="00140D1E">
              <w:rPr>
                <w:rFonts w:ascii="宋体" w:eastAsia="宋体" w:hAnsi="宋体" w:cs="宋体" w:hint="eastAsia"/>
                <w:sz w:val="24"/>
                <w:szCs w:val="24"/>
              </w:rPr>
              <w:t>19</w:t>
            </w:r>
            <w:r w:rsidRPr="005F0C6C">
              <w:rPr>
                <w:rFonts w:ascii="宋体" w:eastAsia="宋体" w:hAnsi="宋体" w:cs="宋体" w:hint="eastAsia"/>
                <w:sz w:val="24"/>
                <w:szCs w:val="24"/>
              </w:rPr>
              <w:t>日（3个工作日</w:t>
            </w:r>
            <w:r w:rsidR="0029581D">
              <w:rPr>
                <w:rFonts w:ascii="宋体" w:eastAsia="宋体" w:hAnsi="宋体" w:cs="宋体" w:hint="eastAsia"/>
                <w:sz w:val="24"/>
                <w:szCs w:val="24"/>
              </w:rPr>
              <w:t>，</w:t>
            </w:r>
            <w:r w:rsidR="00A00979">
              <w:rPr>
                <w:rFonts w:ascii="宋体" w:eastAsia="宋体" w:hAnsi="宋体" w:cs="宋体" w:hint="eastAsia"/>
                <w:sz w:val="24"/>
                <w:szCs w:val="24"/>
              </w:rPr>
              <w:t>以网上发布时间为准</w:t>
            </w:r>
            <w:r w:rsidRPr="005F0C6C">
              <w:rPr>
                <w:rFonts w:ascii="宋体" w:eastAsia="宋体" w:hAnsi="宋体" w:cs="宋体" w:hint="eastAsia"/>
                <w:sz w:val="24"/>
                <w:szCs w:val="24"/>
              </w:rPr>
              <w:t>）</w:t>
            </w:r>
          </w:p>
        </w:tc>
      </w:tr>
    </w:tbl>
    <w:p w:rsidR="004358AB" w:rsidRDefault="00343EF6" w:rsidP="00343EF6">
      <w:pPr>
        <w:tabs>
          <w:tab w:val="left" w:pos="12474"/>
        </w:tabs>
        <w:spacing w:line="220" w:lineRule="atLeast"/>
      </w:pPr>
      <w:r>
        <w:tab/>
      </w:r>
    </w:p>
    <w:sectPr w:rsidR="004358AB" w:rsidSect="009E70C6">
      <w:pgSz w:w="16838" w:h="11906" w:orient="landscape"/>
      <w:pgMar w:top="1361" w:right="1134" w:bottom="136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C66" w:rsidRDefault="00D90C66" w:rsidP="00905701">
      <w:pPr>
        <w:spacing w:after="0"/>
      </w:pPr>
      <w:r>
        <w:separator/>
      </w:r>
    </w:p>
  </w:endnote>
  <w:endnote w:type="continuationSeparator" w:id="0">
    <w:p w:rsidR="00D90C66" w:rsidRDefault="00D90C66" w:rsidP="009057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华文宋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C66" w:rsidRDefault="00D90C66" w:rsidP="00905701">
      <w:pPr>
        <w:spacing w:after="0"/>
      </w:pPr>
      <w:r>
        <w:separator/>
      </w:r>
    </w:p>
  </w:footnote>
  <w:footnote w:type="continuationSeparator" w:id="0">
    <w:p w:rsidR="00D90C66" w:rsidRDefault="00D90C66" w:rsidP="0090570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useFELayout/>
  </w:compat>
  <w:rsids>
    <w:rsidRoot w:val="00D31D50"/>
    <w:rsid w:val="00017F7E"/>
    <w:rsid w:val="0002649A"/>
    <w:rsid w:val="00062B1B"/>
    <w:rsid w:val="000A28E5"/>
    <w:rsid w:val="000A2EBF"/>
    <w:rsid w:val="000E7591"/>
    <w:rsid w:val="00134DEA"/>
    <w:rsid w:val="00140D1E"/>
    <w:rsid w:val="002274F5"/>
    <w:rsid w:val="00265FCF"/>
    <w:rsid w:val="00290B5B"/>
    <w:rsid w:val="0029581D"/>
    <w:rsid w:val="0030384A"/>
    <w:rsid w:val="0032370C"/>
    <w:rsid w:val="00323B43"/>
    <w:rsid w:val="00342A5A"/>
    <w:rsid w:val="00343EF6"/>
    <w:rsid w:val="00357007"/>
    <w:rsid w:val="00365872"/>
    <w:rsid w:val="00374D3C"/>
    <w:rsid w:val="00375AFB"/>
    <w:rsid w:val="003B13FD"/>
    <w:rsid w:val="003D0098"/>
    <w:rsid w:val="003D37D8"/>
    <w:rsid w:val="003E3692"/>
    <w:rsid w:val="0040116D"/>
    <w:rsid w:val="00426133"/>
    <w:rsid w:val="004358AB"/>
    <w:rsid w:val="00435B0A"/>
    <w:rsid w:val="004C51D7"/>
    <w:rsid w:val="004C7858"/>
    <w:rsid w:val="00544E8F"/>
    <w:rsid w:val="00547D12"/>
    <w:rsid w:val="0058634D"/>
    <w:rsid w:val="005A7284"/>
    <w:rsid w:val="005B61D0"/>
    <w:rsid w:val="005F0C6C"/>
    <w:rsid w:val="006019C2"/>
    <w:rsid w:val="006364BB"/>
    <w:rsid w:val="00637DD4"/>
    <w:rsid w:val="00646C48"/>
    <w:rsid w:val="006725F8"/>
    <w:rsid w:val="00672972"/>
    <w:rsid w:val="006910E2"/>
    <w:rsid w:val="00696F63"/>
    <w:rsid w:val="006A7B62"/>
    <w:rsid w:val="00715AE4"/>
    <w:rsid w:val="0072407A"/>
    <w:rsid w:val="00730302"/>
    <w:rsid w:val="00731D16"/>
    <w:rsid w:val="00760E29"/>
    <w:rsid w:val="00813BC0"/>
    <w:rsid w:val="00815F23"/>
    <w:rsid w:val="008961F7"/>
    <w:rsid w:val="008B6AE4"/>
    <w:rsid w:val="008B7726"/>
    <w:rsid w:val="008E5968"/>
    <w:rsid w:val="008F0501"/>
    <w:rsid w:val="00905701"/>
    <w:rsid w:val="00907EFD"/>
    <w:rsid w:val="00933E7C"/>
    <w:rsid w:val="00936799"/>
    <w:rsid w:val="00942EA0"/>
    <w:rsid w:val="00954E16"/>
    <w:rsid w:val="00963521"/>
    <w:rsid w:val="009655B2"/>
    <w:rsid w:val="0099364D"/>
    <w:rsid w:val="009D2926"/>
    <w:rsid w:val="009E70C6"/>
    <w:rsid w:val="00A00979"/>
    <w:rsid w:val="00A059F8"/>
    <w:rsid w:val="00A14E21"/>
    <w:rsid w:val="00A15A54"/>
    <w:rsid w:val="00A47C17"/>
    <w:rsid w:val="00A50248"/>
    <w:rsid w:val="00AD1D6C"/>
    <w:rsid w:val="00B461D5"/>
    <w:rsid w:val="00B6732B"/>
    <w:rsid w:val="00B8386E"/>
    <w:rsid w:val="00B9390A"/>
    <w:rsid w:val="00BA09E2"/>
    <w:rsid w:val="00BF4B68"/>
    <w:rsid w:val="00C037B0"/>
    <w:rsid w:val="00C0400A"/>
    <w:rsid w:val="00C37D58"/>
    <w:rsid w:val="00C46F90"/>
    <w:rsid w:val="00C66872"/>
    <w:rsid w:val="00C67AD1"/>
    <w:rsid w:val="00CB063F"/>
    <w:rsid w:val="00D31D50"/>
    <w:rsid w:val="00D61835"/>
    <w:rsid w:val="00D7382A"/>
    <w:rsid w:val="00D85920"/>
    <w:rsid w:val="00D87DB4"/>
    <w:rsid w:val="00D90C66"/>
    <w:rsid w:val="00D94D88"/>
    <w:rsid w:val="00DA6CC5"/>
    <w:rsid w:val="00DD31C6"/>
    <w:rsid w:val="00DE75F7"/>
    <w:rsid w:val="00E0559E"/>
    <w:rsid w:val="00E14240"/>
    <w:rsid w:val="00E22AD1"/>
    <w:rsid w:val="00E34267"/>
    <w:rsid w:val="00E34529"/>
    <w:rsid w:val="00E7102A"/>
    <w:rsid w:val="00EF006B"/>
    <w:rsid w:val="00F205FD"/>
    <w:rsid w:val="00F32375"/>
    <w:rsid w:val="00F478A0"/>
    <w:rsid w:val="00F47DCA"/>
    <w:rsid w:val="00F56DF5"/>
    <w:rsid w:val="00F924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813BC0"/>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13BC0"/>
    <w:rPr>
      <w:rFonts w:ascii="宋体" w:eastAsia="宋体" w:hAnsi="宋体" w:cs="宋体"/>
      <w:b/>
      <w:bCs/>
      <w:sz w:val="36"/>
      <w:szCs w:val="36"/>
    </w:rPr>
  </w:style>
  <w:style w:type="paragraph" w:customStyle="1" w:styleId="x">
    <w:name w:val="x"/>
    <w:basedOn w:val="a"/>
    <w:rsid w:val="00813BC0"/>
    <w:pPr>
      <w:adjustRightInd/>
      <w:snapToGrid/>
      <w:spacing w:before="100" w:beforeAutospacing="1" w:after="100" w:afterAutospacing="1"/>
    </w:pPr>
    <w:rPr>
      <w:rFonts w:ascii="宋体" w:eastAsia="宋体" w:hAnsi="宋体" w:cs="宋体"/>
      <w:sz w:val="24"/>
      <w:szCs w:val="24"/>
    </w:rPr>
  </w:style>
  <w:style w:type="paragraph" w:styleId="a3">
    <w:name w:val="Normal (Web)"/>
    <w:basedOn w:val="a"/>
    <w:uiPriority w:val="99"/>
    <w:unhideWhenUsed/>
    <w:rsid w:val="00813BC0"/>
    <w:pPr>
      <w:adjustRightInd/>
      <w:snapToGrid/>
      <w:spacing w:before="100" w:beforeAutospacing="1" w:after="100" w:afterAutospacing="1"/>
    </w:pPr>
    <w:rPr>
      <w:rFonts w:ascii="宋体" w:eastAsia="宋体" w:hAnsi="宋体" w:cs="宋体"/>
      <w:sz w:val="24"/>
      <w:szCs w:val="24"/>
    </w:rPr>
  </w:style>
  <w:style w:type="paragraph" w:styleId="a4">
    <w:name w:val="Balloon Text"/>
    <w:basedOn w:val="a"/>
    <w:link w:val="Char"/>
    <w:uiPriority w:val="99"/>
    <w:semiHidden/>
    <w:unhideWhenUsed/>
    <w:rsid w:val="00813BC0"/>
    <w:pPr>
      <w:spacing w:after="0"/>
    </w:pPr>
    <w:rPr>
      <w:sz w:val="18"/>
      <w:szCs w:val="18"/>
    </w:rPr>
  </w:style>
  <w:style w:type="character" w:customStyle="1" w:styleId="Char">
    <w:name w:val="批注框文本 Char"/>
    <w:basedOn w:val="a0"/>
    <w:link w:val="a4"/>
    <w:uiPriority w:val="99"/>
    <w:semiHidden/>
    <w:rsid w:val="00813BC0"/>
    <w:rPr>
      <w:rFonts w:ascii="Tahoma" w:hAnsi="Tahoma"/>
      <w:sz w:val="18"/>
      <w:szCs w:val="18"/>
    </w:rPr>
  </w:style>
  <w:style w:type="character" w:customStyle="1" w:styleId="Char1">
    <w:name w:val="正文文本 Char1"/>
    <w:uiPriority w:val="99"/>
    <w:qFormat/>
    <w:rsid w:val="009D2926"/>
    <w:rPr>
      <w:rFonts w:ascii="MingLiU" w:eastAsia="MingLiU" w:cs="MingLiU"/>
      <w:spacing w:val="-10"/>
      <w:sz w:val="25"/>
      <w:szCs w:val="25"/>
      <w:u w:val="none"/>
    </w:rPr>
  </w:style>
  <w:style w:type="character" w:customStyle="1" w:styleId="CharChar">
    <w:name w:val="表格文字 Char Char"/>
    <w:link w:val="123"/>
    <w:qFormat/>
    <w:rsid w:val="00C37D58"/>
    <w:rPr>
      <w:rFonts w:ascii="宋体" w:eastAsia="宋体" w:hAnsi="宋体"/>
      <w:position w:val="-24"/>
      <w:sz w:val="21"/>
    </w:rPr>
  </w:style>
  <w:style w:type="paragraph" w:customStyle="1" w:styleId="123">
    <w:name w:val="表格123"/>
    <w:basedOn w:val="a"/>
    <w:next w:val="a"/>
    <w:link w:val="CharChar"/>
    <w:qFormat/>
    <w:rsid w:val="00C37D58"/>
    <w:pPr>
      <w:widowControl w:val="0"/>
      <w:tabs>
        <w:tab w:val="left" w:pos="5880"/>
      </w:tabs>
      <w:adjustRightInd/>
      <w:spacing w:after="0" w:line="320" w:lineRule="atLeast"/>
      <w:jc w:val="center"/>
    </w:pPr>
    <w:rPr>
      <w:rFonts w:ascii="宋体" w:eastAsia="宋体" w:hAnsi="宋体"/>
      <w:position w:val="-24"/>
      <w:sz w:val="21"/>
    </w:rPr>
  </w:style>
  <w:style w:type="paragraph" w:customStyle="1" w:styleId="20">
    <w:name w:val="表格文字2"/>
    <w:basedOn w:val="a"/>
    <w:rsid w:val="00C46F90"/>
    <w:pPr>
      <w:widowControl w:val="0"/>
      <w:snapToGrid/>
      <w:spacing w:after="0" w:line="360" w:lineRule="exact"/>
      <w:jc w:val="center"/>
      <w:textAlignment w:val="baseline"/>
    </w:pPr>
    <w:rPr>
      <w:rFonts w:ascii="Times New Roman" w:eastAsia="宋体" w:hAnsi="Times New Roman" w:cs="Times New Roman"/>
      <w:sz w:val="24"/>
      <w:szCs w:val="21"/>
    </w:rPr>
  </w:style>
  <w:style w:type="paragraph" w:styleId="a5">
    <w:name w:val="header"/>
    <w:basedOn w:val="a"/>
    <w:link w:val="Char0"/>
    <w:uiPriority w:val="99"/>
    <w:semiHidden/>
    <w:unhideWhenUsed/>
    <w:rsid w:val="00905701"/>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905701"/>
    <w:rPr>
      <w:rFonts w:ascii="Tahoma" w:hAnsi="Tahoma"/>
      <w:sz w:val="18"/>
      <w:szCs w:val="18"/>
    </w:rPr>
  </w:style>
  <w:style w:type="paragraph" w:styleId="a6">
    <w:name w:val="footer"/>
    <w:basedOn w:val="a"/>
    <w:link w:val="Char2"/>
    <w:uiPriority w:val="99"/>
    <w:semiHidden/>
    <w:unhideWhenUsed/>
    <w:rsid w:val="00905701"/>
    <w:pPr>
      <w:tabs>
        <w:tab w:val="center" w:pos="4153"/>
        <w:tab w:val="right" w:pos="8306"/>
      </w:tabs>
    </w:pPr>
    <w:rPr>
      <w:sz w:val="18"/>
      <w:szCs w:val="18"/>
    </w:rPr>
  </w:style>
  <w:style w:type="character" w:customStyle="1" w:styleId="Char2">
    <w:name w:val="页脚 Char"/>
    <w:basedOn w:val="a0"/>
    <w:link w:val="a6"/>
    <w:uiPriority w:val="99"/>
    <w:semiHidden/>
    <w:rsid w:val="0090570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389303186">
      <w:bodyDiv w:val="1"/>
      <w:marLeft w:val="0"/>
      <w:marRight w:val="0"/>
      <w:marTop w:val="0"/>
      <w:marBottom w:val="0"/>
      <w:divBdr>
        <w:top w:val="none" w:sz="0" w:space="0" w:color="auto"/>
        <w:left w:val="none" w:sz="0" w:space="0" w:color="auto"/>
        <w:bottom w:val="none" w:sz="0" w:space="0" w:color="auto"/>
        <w:right w:val="none" w:sz="0" w:space="0" w:color="auto"/>
      </w:divBdr>
      <w:divsChild>
        <w:div w:id="1920477837">
          <w:marLeft w:val="0"/>
          <w:marRight w:val="0"/>
          <w:marTop w:val="0"/>
          <w:marBottom w:val="0"/>
          <w:divBdr>
            <w:top w:val="none" w:sz="0" w:space="0" w:color="auto"/>
            <w:left w:val="none" w:sz="0" w:space="0" w:color="auto"/>
            <w:bottom w:val="none" w:sz="0" w:space="0" w:color="auto"/>
            <w:right w:val="none" w:sz="0" w:space="0" w:color="auto"/>
          </w:divBdr>
          <w:divsChild>
            <w:div w:id="1141772489">
              <w:marLeft w:val="0"/>
              <w:marRight w:val="0"/>
              <w:marTop w:val="0"/>
              <w:marBottom w:val="0"/>
              <w:divBdr>
                <w:top w:val="none" w:sz="0" w:space="0" w:color="auto"/>
                <w:left w:val="none" w:sz="0" w:space="0" w:color="auto"/>
                <w:bottom w:val="none" w:sz="0" w:space="0" w:color="auto"/>
                <w:right w:val="none" w:sz="0" w:space="0" w:color="auto"/>
              </w:divBdr>
              <w:divsChild>
                <w:div w:id="1937710617">
                  <w:marLeft w:val="0"/>
                  <w:marRight w:val="0"/>
                  <w:marTop w:val="75"/>
                  <w:marBottom w:val="75"/>
                  <w:divBdr>
                    <w:top w:val="none" w:sz="0" w:space="0" w:color="auto"/>
                    <w:left w:val="none" w:sz="0" w:space="0" w:color="auto"/>
                    <w:bottom w:val="none" w:sz="0" w:space="0" w:color="auto"/>
                    <w:right w:val="none" w:sz="0" w:space="0" w:color="auto"/>
                  </w:divBdr>
                  <w:divsChild>
                    <w:div w:id="14304703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99020412">
      <w:bodyDiv w:val="1"/>
      <w:marLeft w:val="0"/>
      <w:marRight w:val="0"/>
      <w:marTop w:val="0"/>
      <w:marBottom w:val="0"/>
      <w:divBdr>
        <w:top w:val="none" w:sz="0" w:space="0" w:color="auto"/>
        <w:left w:val="none" w:sz="0" w:space="0" w:color="auto"/>
        <w:bottom w:val="none" w:sz="0" w:space="0" w:color="auto"/>
        <w:right w:val="none" w:sz="0" w:space="0" w:color="auto"/>
      </w:divBdr>
      <w:divsChild>
        <w:div w:id="263853297">
          <w:marLeft w:val="0"/>
          <w:marRight w:val="0"/>
          <w:marTop w:val="0"/>
          <w:marBottom w:val="0"/>
          <w:divBdr>
            <w:top w:val="none" w:sz="0" w:space="0" w:color="auto"/>
            <w:left w:val="none" w:sz="0" w:space="0" w:color="auto"/>
            <w:bottom w:val="none" w:sz="0" w:space="0" w:color="auto"/>
            <w:right w:val="none" w:sz="0" w:space="0" w:color="auto"/>
          </w:divBdr>
          <w:divsChild>
            <w:div w:id="38356784">
              <w:marLeft w:val="0"/>
              <w:marRight w:val="0"/>
              <w:marTop w:val="0"/>
              <w:marBottom w:val="0"/>
              <w:divBdr>
                <w:top w:val="none" w:sz="0" w:space="0" w:color="auto"/>
                <w:left w:val="none" w:sz="0" w:space="0" w:color="auto"/>
                <w:bottom w:val="none" w:sz="0" w:space="0" w:color="auto"/>
                <w:right w:val="none" w:sz="0" w:space="0" w:color="auto"/>
              </w:divBdr>
              <w:divsChild>
                <w:div w:id="15492207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3957</TotalTime>
  <Pages>5</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83</cp:revision>
  <cp:lastPrinted>2021-10-13T03:07:00Z</cp:lastPrinted>
  <dcterms:created xsi:type="dcterms:W3CDTF">2008-09-11T17:20:00Z</dcterms:created>
  <dcterms:modified xsi:type="dcterms:W3CDTF">2021-12-06T02:28:00Z</dcterms:modified>
</cp:coreProperties>
</file>