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25"/>
        </w:tabs>
        <w:rPr>
          <w:rFonts w:eastAsia="黑体"/>
          <w:bCs/>
          <w:color w:val="000000" w:themeColor="text1"/>
          <w:sz w:val="72"/>
          <w14:textFill>
            <w14:solidFill>
              <w14:schemeClr w14:val="tx1"/>
            </w14:solidFill>
          </w14:textFill>
        </w:rPr>
      </w:pPr>
    </w:p>
    <w:p>
      <w:pPr>
        <w:tabs>
          <w:tab w:val="left" w:pos="5625"/>
        </w:tabs>
        <w:rPr>
          <w:rFonts w:eastAsia="黑体"/>
          <w:bCs/>
          <w:color w:val="000000" w:themeColor="text1"/>
          <w:sz w:val="72"/>
          <w14:textFill>
            <w14:solidFill>
              <w14:schemeClr w14:val="tx1"/>
            </w14:solidFill>
          </w14:textFill>
        </w:rPr>
      </w:pPr>
    </w:p>
    <w:p>
      <w:pPr>
        <w:jc w:val="center"/>
        <w:rPr>
          <w:rFonts w:eastAsia="黑体"/>
          <w:bCs/>
          <w:color w:val="000000" w:themeColor="text1"/>
          <w:sz w:val="72"/>
          <w14:textFill>
            <w14:solidFill>
              <w14:schemeClr w14:val="tx1"/>
            </w14:solidFill>
          </w14:textFill>
        </w:rPr>
      </w:pPr>
      <w:r>
        <w:rPr>
          <w:rFonts w:eastAsia="黑体"/>
          <w:bCs/>
          <w:color w:val="000000" w:themeColor="text1"/>
          <w:sz w:val="72"/>
          <w14:textFill>
            <w14:solidFill>
              <w14:schemeClr w14:val="tx1"/>
            </w14:solidFill>
          </w14:textFill>
        </w:rPr>
        <w:t>建设项目环境影响报告表</w:t>
      </w:r>
    </w:p>
    <w:p>
      <w:pPr>
        <w:jc w:val="center"/>
        <w:outlineLvl w:val="0"/>
        <w:rPr>
          <w:rFonts w:eastAsia="黑体"/>
          <w:bCs/>
          <w:color w:val="000000" w:themeColor="text1"/>
          <w:sz w:val="32"/>
          <w14:textFill>
            <w14:solidFill>
              <w14:schemeClr w14:val="tx1"/>
            </w14:solidFill>
          </w14:textFill>
        </w:rPr>
      </w:pPr>
      <w:r>
        <w:rPr>
          <w:rFonts w:hint="eastAsia" w:eastAsia="黑体"/>
          <w:bCs/>
          <w:color w:val="000000" w:themeColor="text1"/>
          <w:sz w:val="32"/>
          <w14:textFill>
            <w14:solidFill>
              <w14:schemeClr w14:val="tx1"/>
            </w14:solidFill>
          </w14:textFill>
        </w:rPr>
        <w:t>（</w:t>
      </w:r>
      <w:r>
        <w:rPr>
          <w:rFonts w:hint="eastAsia" w:eastAsia="黑体"/>
          <w:bCs/>
          <w:color w:val="000000" w:themeColor="text1"/>
          <w:sz w:val="32"/>
          <w:lang w:val="en-US" w:eastAsia="zh-CN"/>
          <w14:textFill>
            <w14:solidFill>
              <w14:schemeClr w14:val="tx1"/>
            </w14:solidFill>
          </w14:textFill>
        </w:rPr>
        <w:t>公示</w:t>
      </w:r>
      <w:r>
        <w:rPr>
          <w:rFonts w:hint="eastAsia" w:eastAsia="黑体"/>
          <w:bCs/>
          <w:color w:val="000000" w:themeColor="text1"/>
          <w:sz w:val="32"/>
          <w14:textFill>
            <w14:solidFill>
              <w14:schemeClr w14:val="tx1"/>
            </w14:solidFill>
          </w14:textFill>
        </w:rPr>
        <w:t>本）</w:t>
      </w:r>
    </w:p>
    <w:p>
      <w:pPr>
        <w:rPr>
          <w:rFonts w:eastAsia="黑体"/>
          <w:bCs/>
          <w:color w:val="000000" w:themeColor="text1"/>
          <w:sz w:val="32"/>
          <w14:textFill>
            <w14:solidFill>
              <w14:schemeClr w14:val="tx1"/>
            </w14:solidFill>
          </w14:textFill>
        </w:rPr>
      </w:pPr>
    </w:p>
    <w:p>
      <w:pPr>
        <w:rPr>
          <w:rFonts w:eastAsia="黑体"/>
          <w:bCs/>
          <w:color w:val="000000" w:themeColor="text1"/>
          <w:sz w:val="32"/>
          <w14:textFill>
            <w14:solidFill>
              <w14:schemeClr w14:val="tx1"/>
            </w14:solidFill>
          </w14:textFill>
        </w:rPr>
      </w:pPr>
    </w:p>
    <w:p>
      <w:pPr>
        <w:rPr>
          <w:rFonts w:eastAsia="黑体"/>
          <w:bCs/>
          <w:color w:val="000000" w:themeColor="text1"/>
          <w:sz w:val="32"/>
          <w14:textFill>
            <w14:solidFill>
              <w14:schemeClr w14:val="tx1"/>
            </w14:solidFill>
          </w14:textFill>
        </w:rPr>
      </w:pPr>
    </w:p>
    <w:p>
      <w:pPr>
        <w:rPr>
          <w:rFonts w:eastAsia="黑体"/>
          <w:bCs/>
          <w:color w:val="000000" w:themeColor="text1"/>
          <w:sz w:val="32"/>
          <w14:textFill>
            <w14:solidFill>
              <w14:schemeClr w14:val="tx1"/>
            </w14:solidFill>
          </w14:textFill>
        </w:rPr>
      </w:pPr>
    </w:p>
    <w:p>
      <w:pPr>
        <w:rPr>
          <w:rFonts w:eastAsia="黑体"/>
          <w:bCs/>
          <w:color w:val="000000" w:themeColor="text1"/>
          <w:sz w:val="32"/>
          <w14:textFill>
            <w14:solidFill>
              <w14:schemeClr w14:val="tx1"/>
            </w14:solidFill>
          </w14:textFill>
        </w:rPr>
      </w:pPr>
    </w:p>
    <w:p>
      <w:pPr>
        <w:rPr>
          <w:rFonts w:eastAsia="黑体"/>
          <w:bCs/>
          <w:color w:val="000000" w:themeColor="text1"/>
          <w:sz w:val="32"/>
          <w14:textFill>
            <w14:solidFill>
              <w14:schemeClr w14:val="tx1"/>
            </w14:solidFill>
          </w14:textFill>
        </w:rPr>
      </w:pPr>
    </w:p>
    <w:p>
      <w:pPr>
        <w:pStyle w:val="115"/>
        <w:rPr>
          <w:rFonts w:ascii="宋体" w:hAnsi="宋体"/>
          <w:b/>
          <w:color w:val="000000" w:themeColor="text1"/>
          <w:sz w:val="32"/>
          <w:szCs w:val="24"/>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 xml:space="preserve"> 项目名称：</w:t>
      </w:r>
      <w:r>
        <w:rPr>
          <w:rFonts w:hint="eastAsia" w:ascii="宋体" w:hAnsi="宋体"/>
          <w:b/>
          <w:color w:val="000000" w:themeColor="text1"/>
          <w:sz w:val="32"/>
          <w:szCs w:val="24"/>
          <w:u w:val="single"/>
          <w14:textFill>
            <w14:solidFill>
              <w14:schemeClr w14:val="tx1"/>
            </w14:solidFill>
          </w14:textFill>
        </w:rPr>
        <w:t>宁武县华盛储售煤有限公司型煤生产项目</w:t>
      </w:r>
    </w:p>
    <w:p>
      <w:pPr>
        <w:spacing w:line="360" w:lineRule="auto"/>
        <w:ind w:left="2564" w:leftChars="456" w:hanging="1606" w:hangingChars="500"/>
        <w:jc w:val="left"/>
        <w:rPr>
          <w:rFonts w:ascii="宋体" w:hAnsi="宋体" w:cs="宋体"/>
          <w:b/>
          <w:color w:val="000000" w:themeColor="text1"/>
          <w:sz w:val="32"/>
          <w:u w:val="single"/>
          <w14:textFill>
            <w14:solidFill>
              <w14:schemeClr w14:val="tx1"/>
            </w14:solidFill>
          </w14:textFill>
        </w:rPr>
      </w:pPr>
    </w:p>
    <w:p>
      <w:pPr>
        <w:spacing w:line="360" w:lineRule="auto"/>
        <w:ind w:firstLine="964" w:firstLineChars="300"/>
        <w:jc w:val="left"/>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建设单位（盖章）：</w:t>
      </w:r>
      <w:r>
        <w:rPr>
          <w:rFonts w:hint="eastAsia" w:ascii="宋体" w:hAnsi="宋体" w:cs="宋体"/>
          <w:b/>
          <w:color w:val="000000" w:themeColor="text1"/>
          <w:sz w:val="32"/>
          <w:u w:val="single"/>
          <w14:textFill>
            <w14:solidFill>
              <w14:schemeClr w14:val="tx1"/>
            </w14:solidFill>
          </w14:textFill>
        </w:rPr>
        <w:t>宁武县华盛储售煤有限公司</w:t>
      </w:r>
    </w:p>
    <w:p>
      <w:pPr>
        <w:rPr>
          <w:rFonts w:hint="eastAsia" w:ascii="宋体" w:hAnsi="宋体" w:eastAsia="宋体" w:cs="宋体"/>
          <w:b/>
          <w:color w:val="000000" w:themeColor="text1"/>
          <w:sz w:val="32"/>
          <w:lang w:eastAsia="zh-CN"/>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spacing w:after="156" w:afterLines="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编制日期：2021年3月</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sectPr>
          <w:headerReference r:id="rId3" w:type="default"/>
          <w:footerReference r:id="rId4" w:type="default"/>
          <w:pgSz w:w="11906" w:h="16838"/>
          <w:pgMar w:top="1440" w:right="1418" w:bottom="1440" w:left="1418" w:header="851" w:footer="992" w:gutter="0"/>
          <w:cols w:space="425" w:num="1"/>
          <w:docGrid w:type="lines" w:linePitch="312" w:charSpace="0"/>
        </w:sectPr>
      </w:pPr>
    </w:p>
    <w:p>
      <w:pPr>
        <w:spacing w:line="480" w:lineRule="auto"/>
        <w:jc w:val="center"/>
        <w:rPr>
          <w:b/>
          <w:color w:val="000000" w:themeColor="text1"/>
          <w:sz w:val="36"/>
          <w14:textFill>
            <w14:solidFill>
              <w14:schemeClr w14:val="tx1"/>
            </w14:solidFill>
          </w14:textFill>
        </w:rPr>
      </w:pPr>
      <w:r>
        <w:rPr>
          <w:rFonts w:hint="eastAsia"/>
          <w:b/>
          <w:color w:val="000000" w:themeColor="text1"/>
          <w:sz w:val="36"/>
          <w14:textFill>
            <w14:solidFill>
              <w14:schemeClr w14:val="tx1"/>
            </w14:solidFill>
          </w14:textFill>
        </w:rPr>
        <w:t>建设项目环境影响报告表》编制说明</w:t>
      </w:r>
    </w:p>
    <w:p>
      <w:pPr>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 xml:space="preserve">    </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《建设项目环境影响报告表》由具有从事环境影响评价工作资质的单位编制。</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1．项目名称——指项目立项批复</w:t>
      </w:r>
      <w:bookmarkStart w:id="20" w:name="_GoBack"/>
      <w:bookmarkEnd w:id="20"/>
      <w:r>
        <w:rPr>
          <w:rFonts w:hint="eastAsia" w:ascii="宋体" w:hAnsi="宋体" w:cs="宋体"/>
          <w:bCs/>
          <w:color w:val="000000" w:themeColor="text1"/>
          <w:sz w:val="28"/>
          <w:szCs w:val="28"/>
          <w14:textFill>
            <w14:solidFill>
              <w14:schemeClr w14:val="tx1"/>
            </w14:solidFill>
          </w14:textFill>
        </w:rPr>
        <w:t>时的名称，应不超过30个字（两个英文字段作一个汉字）。</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2．建设地点——指项目所在地详细地址，公路、铁路应填写起止地点。</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3．行业类别——按国标填写。</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4．总投资——指项目投资总额。</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5．主要环境保护目标——指项目区周围一定范围内集中居民住宅、学校、医院、保护文物、风景名胜区、水源地和生态敏感点等，应尽可能给出保护目标、性质、规模和距厂界距离等。</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7．预审意见——由行业主管部门填写答复意见，无主管部门项目，可不填。</w:t>
      </w:r>
    </w:p>
    <w:p>
      <w:pPr>
        <w:spacing w:line="60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8．审批意见——由负责审批该项目的环境保护行政主管部门批复。</w:t>
      </w:r>
    </w:p>
    <w:p>
      <w:pPr>
        <w:spacing w:line="600" w:lineRule="exact"/>
        <w:ind w:firstLine="560" w:firstLineChars="200"/>
        <w:rPr>
          <w:rFonts w:eastAsia="黑体"/>
          <w:bCs/>
          <w:color w:val="000000" w:themeColor="text1"/>
          <w:sz w:val="28"/>
          <w14:textFill>
            <w14:solidFill>
              <w14:schemeClr w14:val="tx1"/>
            </w14:solidFill>
          </w14:textFill>
        </w:rPr>
      </w:pPr>
    </w:p>
    <w:p>
      <w:pPr>
        <w:spacing w:line="600" w:lineRule="exact"/>
        <w:ind w:firstLine="560" w:firstLineChars="200"/>
        <w:rPr>
          <w:rFonts w:eastAsia="黑体"/>
          <w:bCs/>
          <w:color w:val="000000" w:themeColor="text1"/>
          <w:sz w:val="28"/>
          <w14:textFill>
            <w14:solidFill>
              <w14:schemeClr w14:val="tx1"/>
            </w14:solidFill>
          </w14:textFill>
        </w:rPr>
      </w:pPr>
    </w:p>
    <w:p>
      <w:pPr>
        <w:spacing w:line="480" w:lineRule="exact"/>
        <w:rPr>
          <w:color w:val="000000" w:themeColor="text1"/>
          <w:sz w:val="24"/>
          <w14:textFill>
            <w14:solidFill>
              <w14:schemeClr w14:val="tx1"/>
            </w14:solidFill>
          </w14:textFill>
        </w:rPr>
        <w:sectPr>
          <w:footerReference r:id="rId5" w:type="default"/>
          <w:pgSz w:w="11906" w:h="16838"/>
          <w:pgMar w:top="1440" w:right="1418" w:bottom="1440" w:left="1418" w:header="851" w:footer="992" w:gutter="0"/>
          <w:pgNumType w:start="1"/>
          <w:cols w:space="425" w:num="1"/>
          <w:docGrid w:type="lines" w:linePitch="312" w:charSpace="0"/>
        </w:sectPr>
      </w:pPr>
    </w:p>
    <w:p>
      <w:pPr>
        <w:pStyle w:val="16"/>
        <w:rPr>
          <w:color w:val="000000" w:themeColor="text1"/>
          <w14:textFill>
            <w14:solidFill>
              <w14:schemeClr w14:val="tx1"/>
            </w14:solidFill>
          </w14:textFill>
        </w:rPr>
      </w:pPr>
    </w:p>
    <w:p>
      <w:pPr>
        <w:spacing w:line="480" w:lineRule="exact"/>
        <w:rPr>
          <w:color w:val="000000" w:themeColor="text1"/>
          <w:sz w:val="24"/>
          <w14:textFill>
            <w14:solidFill>
              <w14:schemeClr w14:val="tx1"/>
            </w14:solidFill>
          </w14:textFill>
        </w:rPr>
        <w:sectPr>
          <w:pgSz w:w="16838" w:h="11906" w:orient="landscape"/>
          <w:pgMar w:top="1418" w:right="1440" w:bottom="1418" w:left="1440" w:header="851" w:footer="992" w:gutter="0"/>
          <w:pgNumType w:start="1"/>
          <w:cols w:space="425" w:num="1"/>
          <w:docGrid w:type="lines" w:linePitch="312" w:charSpace="0"/>
        </w:sectPr>
      </w:pPr>
    </w:p>
    <w:p>
      <w:pPr>
        <w:spacing w:line="480" w:lineRule="exact"/>
        <w:outlineLvl w:val="0"/>
        <w:rPr>
          <w:color w:val="000000" w:themeColor="text1"/>
          <w:sz w:val="24"/>
          <w14:textFill>
            <w14:solidFill>
              <w14:schemeClr w14:val="tx1"/>
            </w14:solidFill>
          </w14:textFill>
        </w:rPr>
      </w:pPr>
      <w:r>
        <w:rPr>
          <w:rFonts w:eastAsia="黑体"/>
          <w:bCs/>
          <w:color w:val="000000" w:themeColor="text1"/>
          <w:sz w:val="32"/>
          <w14:textFill>
            <w14:solidFill>
              <w14:schemeClr w14:val="tx1"/>
            </w14:solidFill>
          </w14:textFill>
        </w:rPr>
        <w:t>建设项目基本情况</w:t>
      </w:r>
    </w:p>
    <w:tbl>
      <w:tblPr>
        <w:tblStyle w:val="32"/>
        <w:tblW w:w="5033"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13" w:type="dxa"/>
          <w:bottom w:w="0" w:type="dxa"/>
          <w:right w:w="113" w:type="dxa"/>
        </w:tblCellMar>
      </w:tblPr>
      <w:tblGrid>
        <w:gridCol w:w="1804"/>
        <w:gridCol w:w="1371"/>
        <w:gridCol w:w="337"/>
        <w:gridCol w:w="1011"/>
        <w:gridCol w:w="563"/>
        <w:gridCol w:w="259"/>
        <w:gridCol w:w="1293"/>
        <w:gridCol w:w="41"/>
        <w:gridCol w:w="1492"/>
        <w:gridCol w:w="80"/>
        <w:gridCol w:w="106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top w:val="single" w:color="auto" w:sz="12" w:space="0"/>
              <w:left w:val="single" w:color="auto" w:sz="12" w:space="0"/>
            </w:tcBorders>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项目名称</w:t>
            </w:r>
          </w:p>
        </w:tc>
        <w:tc>
          <w:tcPr>
            <w:tcW w:w="4031" w:type="pct"/>
            <w:gridSpan w:val="10"/>
            <w:tcBorders>
              <w:top w:val="single" w:color="auto" w:sz="12" w:space="0"/>
              <w:right w:val="single" w:color="auto" w:sz="12" w:space="0"/>
            </w:tcBorders>
            <w:vAlign w:val="center"/>
          </w:tcPr>
          <w:p>
            <w:pPr>
              <w:spacing w:line="400" w:lineRule="exact"/>
              <w:ind w:right="-113"/>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宁武县华盛储售煤有限公司型煤生产项目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建设单位</w:t>
            </w:r>
          </w:p>
        </w:tc>
        <w:tc>
          <w:tcPr>
            <w:tcW w:w="4031" w:type="pct"/>
            <w:gridSpan w:val="10"/>
            <w:tcBorders>
              <w:right w:val="single" w:color="auto" w:sz="12" w:space="0"/>
            </w:tcBorders>
            <w:vAlign w:val="center"/>
          </w:tcPr>
          <w:p>
            <w:pPr>
              <w:spacing w:line="400" w:lineRule="exact"/>
              <w:ind w:right="-113"/>
              <w:jc w:val="center"/>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宁武县华盛储售煤有限公司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法人代表</w:t>
            </w:r>
          </w:p>
        </w:tc>
        <w:tc>
          <w:tcPr>
            <w:tcW w:w="1762" w:type="pct"/>
            <w:gridSpan w:val="4"/>
            <w:vAlign w:val="center"/>
          </w:tcPr>
          <w:p>
            <w:pPr>
              <w:spacing w:line="480" w:lineRule="exact"/>
              <w:jc w:val="center"/>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牛智林</w:t>
            </w:r>
          </w:p>
        </w:tc>
        <w:tc>
          <w:tcPr>
            <w:tcW w:w="833" w:type="pct"/>
            <w:gridSpan w:val="2"/>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联系人</w:t>
            </w:r>
          </w:p>
        </w:tc>
        <w:tc>
          <w:tcPr>
            <w:tcW w:w="1436" w:type="pct"/>
            <w:gridSpan w:val="4"/>
            <w:tcBorders>
              <w:right w:val="single" w:color="auto" w:sz="12" w:space="0"/>
            </w:tcBorders>
            <w:vAlign w:val="center"/>
          </w:tcPr>
          <w:p>
            <w:pPr>
              <w:spacing w:line="480" w:lineRule="exact"/>
              <w:jc w:val="center"/>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牛智林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通讯地址</w:t>
            </w:r>
          </w:p>
        </w:tc>
        <w:tc>
          <w:tcPr>
            <w:tcW w:w="4031" w:type="pct"/>
            <w:gridSpan w:val="10"/>
            <w:tcBorders>
              <w:right w:val="single" w:color="auto" w:sz="12" w:space="0"/>
            </w:tcBorders>
            <w:vAlign w:val="center"/>
          </w:tcPr>
          <w:p>
            <w:pPr>
              <w:spacing w:line="480" w:lineRule="exact"/>
              <w:jc w:val="center"/>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山西省忻州市宁武县凤凰镇前石湖村约东南560m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联系电话</w:t>
            </w:r>
          </w:p>
        </w:tc>
        <w:tc>
          <w:tcPr>
            <w:tcW w:w="917" w:type="pct"/>
            <w:gridSpan w:val="2"/>
            <w:vAlign w:val="center"/>
          </w:tcPr>
          <w:p>
            <w:pPr>
              <w:spacing w:line="480" w:lineRule="exact"/>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w:t>
            </w:r>
          </w:p>
        </w:tc>
        <w:tc>
          <w:tcPr>
            <w:tcW w:w="543" w:type="pct"/>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传真</w:t>
            </w:r>
          </w:p>
        </w:tc>
        <w:tc>
          <w:tcPr>
            <w:tcW w:w="1135" w:type="pct"/>
            <w:gridSpan w:val="3"/>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823" w:type="pct"/>
            <w:gridSpan w:val="2"/>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邮政编码</w:t>
            </w:r>
          </w:p>
        </w:tc>
        <w:tc>
          <w:tcPr>
            <w:tcW w:w="613" w:type="pct"/>
            <w:gridSpan w:val="2"/>
            <w:tcBorders>
              <w:right w:val="single" w:color="auto" w:sz="12" w:space="0"/>
            </w:tcBorders>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036700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618"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建设地点</w:t>
            </w:r>
          </w:p>
        </w:tc>
        <w:tc>
          <w:tcPr>
            <w:tcW w:w="4031" w:type="pct"/>
            <w:gridSpan w:val="10"/>
            <w:tcBorders>
              <w:right w:val="single" w:color="auto" w:sz="12" w:space="0"/>
            </w:tcBorders>
            <w:vAlign w:val="center"/>
          </w:tcPr>
          <w:p>
            <w:pPr>
              <w:spacing w:line="480" w:lineRule="exact"/>
              <w:jc w:val="center"/>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山西省忻州市宁武县凤凰镇前石湖村约东南560m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立项审批部门</w:t>
            </w:r>
          </w:p>
        </w:tc>
        <w:tc>
          <w:tcPr>
            <w:tcW w:w="1901" w:type="pct"/>
            <w:gridSpan w:val="5"/>
            <w:tcBorders>
              <w:top w:val="single" w:color="auto" w:sz="4" w:space="0"/>
              <w:bottom w:val="single" w:color="auto" w:sz="4" w:space="0"/>
            </w:tcBorders>
            <w:tcMar>
              <w:left w:w="57" w:type="dxa"/>
            </w:tcMar>
            <w:vAlign w:val="center"/>
          </w:tcPr>
          <w:p>
            <w:pPr>
              <w:spacing w:line="480" w:lineRule="exact"/>
              <w:jc w:val="center"/>
              <w:rPr>
                <w:rFonts w:ascii="宋体" w:hAnsi="宋体"/>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宁武县行政审批服务管理局</w:t>
            </w:r>
          </w:p>
        </w:tc>
        <w:tc>
          <w:tcPr>
            <w:tcW w:w="716" w:type="pct"/>
            <w:gridSpan w:val="2"/>
            <w:tcMar>
              <w:left w:w="28" w:type="dxa"/>
              <w:right w:w="28" w:type="dxa"/>
            </w:tcMar>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批准文号</w:t>
            </w:r>
          </w:p>
        </w:tc>
        <w:tc>
          <w:tcPr>
            <w:tcW w:w="1414" w:type="pct"/>
            <w:gridSpan w:val="3"/>
            <w:tcBorders>
              <w:right w:val="single" w:color="auto" w:sz="12" w:space="0"/>
            </w:tcBorders>
            <w:tcMar>
              <w:left w:w="0" w:type="dxa"/>
              <w:right w:w="0" w:type="dxa"/>
            </w:tcMar>
            <w:vAlign w:val="center"/>
          </w:tcPr>
          <w:p>
            <w:pPr>
              <w:spacing w:line="480" w:lineRule="exact"/>
              <w:jc w:val="center"/>
              <w:rPr>
                <w:color w:val="000000" w:themeColor="text1"/>
                <w:spacing w:val="-14"/>
                <w:sz w:val="24"/>
                <w14:textFill>
                  <w14:solidFill>
                    <w14:schemeClr w14:val="tx1"/>
                  </w14:solidFill>
                </w14:textFill>
              </w:rPr>
            </w:pPr>
            <w:r>
              <w:rPr>
                <w:rFonts w:hint="eastAsia"/>
                <w:color w:val="000000" w:themeColor="text1"/>
                <w:spacing w:val="-14"/>
                <w:sz w:val="24"/>
                <w14:textFill>
                  <w14:solidFill>
                    <w14:schemeClr w14:val="tx1"/>
                  </w14:solidFill>
                </w14:textFill>
              </w:rPr>
              <w:t>2012-140925-89-05-763523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737"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建设性质</w:t>
            </w:r>
          </w:p>
        </w:tc>
        <w:tc>
          <w:tcPr>
            <w:tcW w:w="1901" w:type="pct"/>
            <w:gridSpan w:val="5"/>
            <w:tcBorders>
              <w:top w:val="single" w:color="auto" w:sz="4" w:space="0"/>
            </w:tcBorders>
            <w:vAlign w:val="center"/>
          </w:tcPr>
          <w:p>
            <w:pPr>
              <w:spacing w:line="480" w:lineRule="exact"/>
              <w:ind w:firstLine="240" w:firstLineChars="100"/>
              <w:rPr>
                <w:color w:val="000000" w:themeColor="text1"/>
                <w:sz w:val="24"/>
                <w14:textFill>
                  <w14:solidFill>
                    <w14:schemeClr w14:val="tx1"/>
                  </w14:solidFill>
                </w14:textFill>
              </w:rPr>
            </w:pPr>
            <w:r>
              <w:rPr>
                <w:bCs/>
                <w:color w:val="000000" w:themeColor="text1"/>
                <w:sz w:val="24"/>
                <w14:textFill>
                  <w14:solidFill>
                    <w14:schemeClr w14:val="tx1"/>
                  </w14:solidFill>
                </w14:textFill>
              </w:rPr>
              <w:t>新建</w:t>
            </w:r>
            <w:r>
              <w:rPr>
                <w:color w:val="000000" w:themeColor="text1"/>
                <w:sz w:val="24"/>
                <w14:textFill>
                  <w14:solidFill>
                    <w14:schemeClr w14:val="tx1"/>
                  </w14:solidFill>
                </w14:textFill>
              </w:rPr>
              <w:t>√</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改扩建    技改</w:t>
            </w:r>
          </w:p>
        </w:tc>
        <w:tc>
          <w:tcPr>
            <w:tcW w:w="716" w:type="pct"/>
            <w:gridSpan w:val="2"/>
            <w:tcMar>
              <w:left w:w="0" w:type="dxa"/>
              <w:right w:w="0" w:type="dxa"/>
            </w:tcMar>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行业类别</w:t>
            </w:r>
          </w:p>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及代码</w:t>
            </w:r>
          </w:p>
        </w:tc>
        <w:tc>
          <w:tcPr>
            <w:tcW w:w="1414" w:type="pct"/>
            <w:gridSpan w:val="3"/>
            <w:tcBorders>
              <w:right w:val="single" w:color="auto" w:sz="12" w:space="0"/>
            </w:tcBorders>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C2524煤制品制造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737"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占地面积</w:t>
            </w:r>
          </w:p>
        </w:tc>
        <w:tc>
          <w:tcPr>
            <w:tcW w:w="1901" w:type="pct"/>
            <w:gridSpan w:val="5"/>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22.1亩</w:t>
            </w:r>
          </w:p>
        </w:tc>
        <w:tc>
          <w:tcPr>
            <w:tcW w:w="716" w:type="pct"/>
            <w:gridSpan w:val="2"/>
            <w:tcMar>
              <w:left w:w="0" w:type="dxa"/>
              <w:right w:w="0" w:type="dxa"/>
            </w:tcMar>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绿化面积</w:t>
            </w:r>
          </w:p>
        </w:tc>
        <w:tc>
          <w:tcPr>
            <w:tcW w:w="1414" w:type="pct"/>
            <w:gridSpan w:val="3"/>
            <w:tcBorders>
              <w:right w:val="single" w:color="auto" w:sz="12" w:space="0"/>
            </w:tcBorders>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1000</w:t>
            </w:r>
            <w:r>
              <w:rPr>
                <w:rFonts w:eastAsia="黑体"/>
                <w:bCs/>
                <w:color w:val="000000" w:themeColor="text1"/>
                <w:sz w:val="24"/>
                <w14:textFill>
                  <w14:solidFill>
                    <w14:schemeClr w14:val="tx1"/>
                  </w14:solidFill>
                </w14:textFill>
              </w:rPr>
              <w:t>平方米</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737" w:hRule="atLeast"/>
        </w:trPr>
        <w:tc>
          <w:tcPr>
            <w:tcW w:w="969" w:type="pct"/>
            <w:tcBorders>
              <w:left w:val="single" w:color="auto" w:sz="12"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总投资</w:t>
            </w:r>
          </w:p>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（万元）</w:t>
            </w:r>
          </w:p>
        </w:tc>
        <w:tc>
          <w:tcPr>
            <w:tcW w:w="736" w:type="pct"/>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1000</w:t>
            </w:r>
          </w:p>
        </w:tc>
        <w:tc>
          <w:tcPr>
            <w:tcW w:w="1165" w:type="pct"/>
            <w:gridSpan w:val="4"/>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其中：环保投资</w:t>
            </w:r>
          </w:p>
          <w:p>
            <w:pPr>
              <w:spacing w:line="480" w:lineRule="exact"/>
              <w:jc w:val="center"/>
              <w:rPr>
                <w:rFonts w:eastAsia="黑体"/>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（万元）</w:t>
            </w:r>
          </w:p>
        </w:tc>
        <w:tc>
          <w:tcPr>
            <w:tcW w:w="716" w:type="pct"/>
            <w:gridSpan w:val="2"/>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50</w:t>
            </w:r>
          </w:p>
        </w:tc>
        <w:tc>
          <w:tcPr>
            <w:tcW w:w="844" w:type="pct"/>
            <w:gridSpan w:val="2"/>
            <w:tcMar>
              <w:left w:w="0" w:type="dxa"/>
              <w:right w:w="0" w:type="dxa"/>
            </w:tcMar>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环保投资占总投资比例</w:t>
            </w:r>
          </w:p>
        </w:tc>
        <w:tc>
          <w:tcPr>
            <w:tcW w:w="571" w:type="pct"/>
            <w:tcBorders>
              <w:right w:val="single" w:color="auto" w:sz="12" w:space="0"/>
            </w:tcBorders>
            <w:tcMar>
              <w:left w:w="0" w:type="dxa"/>
              <w:right w:w="0" w:type="dxa"/>
            </w:tcMar>
            <w:vAlign w:val="center"/>
          </w:tcPr>
          <w:p>
            <w:pPr>
              <w:spacing w:line="480" w:lineRule="exact"/>
              <w:jc w:val="center"/>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5</w:t>
            </w:r>
            <w:r>
              <w:rPr>
                <w:rStyle w:val="38"/>
                <w:rFonts w:hint="eastAsia"/>
                <w:kern w:val="0"/>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737" w:hRule="atLeast"/>
        </w:trPr>
        <w:tc>
          <w:tcPr>
            <w:tcW w:w="969" w:type="pct"/>
            <w:tcBorders>
              <w:left w:val="single" w:color="auto" w:sz="12" w:space="0"/>
              <w:bottom w:val="single" w:color="auto" w:sz="18"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评价经费</w:t>
            </w:r>
          </w:p>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（万元）</w:t>
            </w:r>
          </w:p>
        </w:tc>
        <w:tc>
          <w:tcPr>
            <w:tcW w:w="736" w:type="pct"/>
            <w:tcBorders>
              <w:bottom w:val="single" w:color="auto" w:sz="18" w:space="0"/>
            </w:tcBorders>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1165" w:type="pct"/>
            <w:gridSpan w:val="4"/>
            <w:tcBorders>
              <w:bottom w:val="single" w:color="auto" w:sz="18" w:space="0"/>
            </w:tcBorders>
            <w:vAlign w:val="center"/>
          </w:tcPr>
          <w:p>
            <w:pPr>
              <w:spacing w:line="480" w:lineRule="exact"/>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预期投产日期</w:t>
            </w:r>
          </w:p>
        </w:tc>
        <w:tc>
          <w:tcPr>
            <w:tcW w:w="2130" w:type="pct"/>
            <w:gridSpan w:val="5"/>
            <w:tcBorders>
              <w:bottom w:val="single" w:color="auto" w:sz="18" w:space="0"/>
              <w:right w:val="single" w:color="auto" w:sz="12" w:space="0"/>
            </w:tcBorders>
            <w:vAlign w:val="center"/>
          </w:tcPr>
          <w:p>
            <w:pPr>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2021.5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4775" w:hRule="atLeast"/>
        </w:trPr>
        <w:tc>
          <w:tcPr>
            <w:tcW w:w="5000" w:type="pct"/>
            <w:gridSpan w:val="11"/>
            <w:tcBorders>
              <w:top w:val="single" w:color="auto" w:sz="18" w:space="0"/>
              <w:left w:val="single" w:color="auto" w:sz="12" w:space="0"/>
              <w:bottom w:val="single" w:color="auto" w:sz="18" w:space="0"/>
              <w:right w:val="single" w:color="auto" w:sz="12" w:space="0"/>
            </w:tcBorders>
            <w:vAlign w:val="center"/>
          </w:tcPr>
          <w:p>
            <w:pPr>
              <w:spacing w:line="480" w:lineRule="exact"/>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1、项目由来</w:t>
            </w:r>
          </w:p>
          <w:p>
            <w:pPr>
              <w:spacing w:line="480" w:lineRule="exact"/>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1.</w:t>
            </w:r>
            <w:r>
              <w:rPr>
                <w:rFonts w:hint="eastAsia" w:eastAsia="黑体"/>
                <w:color w:val="000000" w:themeColor="text1"/>
                <w:sz w:val="24"/>
                <w14:textFill>
                  <w14:solidFill>
                    <w14:schemeClr w14:val="tx1"/>
                  </w14:solidFill>
                </w14:textFill>
              </w:rPr>
              <w:t>1</w:t>
            </w:r>
            <w:r>
              <w:rPr>
                <w:rFonts w:eastAsia="黑体"/>
                <w:color w:val="000000" w:themeColor="text1"/>
                <w:sz w:val="24"/>
                <w14:textFill>
                  <w14:solidFill>
                    <w14:schemeClr w14:val="tx1"/>
                  </w14:solidFill>
                </w14:textFill>
              </w:rPr>
              <w:t xml:space="preserve"> </w:t>
            </w:r>
            <w:r>
              <w:rPr>
                <w:rFonts w:hint="eastAsia" w:eastAsia="黑体"/>
                <w:color w:val="000000" w:themeColor="text1"/>
                <w:sz w:val="24"/>
                <w14:textFill>
                  <w14:solidFill>
                    <w14:schemeClr w14:val="tx1"/>
                  </w14:solidFill>
                </w14:textFill>
              </w:rPr>
              <w:t>项目背景</w:t>
            </w:r>
          </w:p>
          <w:p>
            <w:pPr>
              <w:spacing w:line="480" w:lineRule="exact"/>
              <w:ind w:firstLine="48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宁武县华盛储售煤有限公司于2020年12月14日成立，经营范围包括煤炭储售、矿产品销售，民用洁净煤销售、型煤加工销售等</w:t>
            </w:r>
            <w:r>
              <w:rPr>
                <w:rFonts w:hint="eastAsia"/>
                <w:color w:val="000000" w:themeColor="text1"/>
                <w:sz w:val="24"/>
                <w14:textFill>
                  <w14:solidFill>
                    <w14:schemeClr w14:val="tx1"/>
                  </w14:solidFill>
                </w14:textFill>
              </w:rPr>
              <w:t>。</w:t>
            </w:r>
          </w:p>
          <w:p>
            <w:pPr>
              <w:spacing w:line="480" w:lineRule="exact"/>
              <w:ind w:firstLine="48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型煤包括工业型煤和民用型煤，形状包括圆柱形、球形等等，有冷压和热压成型两种生产工艺。型煤可以提高燃烧效率，减少能源浪费，改善环境污染。型煤产品是一种环保产品，型煤成型过程中，通过加入不同的添加剂，改变原料煤的某些特性，增加反应活性、易燃性、热稳定性，提高灰熔点，同时具有固硫等功能。燃用型煤后可达到节煤、降尘、减少有害气体排放量的效果。</w:t>
            </w:r>
          </w:p>
          <w:p>
            <w:pPr>
              <w:spacing w:line="480" w:lineRule="exact"/>
              <w:ind w:firstLine="48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对市场需求调研后，宁武县华盛储售煤有限公司拟投资1000万元，建设宁武县华盛储售煤有限公司型煤生产项目，新建生产车间及相关生产设备、环保设施进行生产，项目建成后形成年产50万吨型煤。</w:t>
            </w:r>
          </w:p>
          <w:p>
            <w:pPr>
              <w:spacing w:line="480" w:lineRule="exact"/>
              <w:ind w:firstLine="48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宁</w:t>
            </w:r>
            <w:r>
              <w:rPr>
                <w:rFonts w:hint="eastAsia"/>
                <w:color w:val="000000" w:themeColor="text1"/>
                <w:sz w:val="24"/>
                <w14:textFill>
                  <w14:solidFill>
                    <w14:schemeClr w14:val="tx1"/>
                  </w14:solidFill>
                </w14:textFill>
              </w:rPr>
              <w:t>武县行政审批服务管理局以</w:t>
            </w:r>
            <w:r>
              <w:rPr>
                <w:rFonts w:hint="eastAsia"/>
                <w:bCs/>
                <w:color w:val="000000" w:themeColor="text1"/>
                <w:sz w:val="24"/>
                <w14:textFill>
                  <w14:solidFill>
                    <w14:schemeClr w14:val="tx1"/>
                  </w14:solidFill>
                </w14:textFill>
              </w:rPr>
              <w:t>2012-140925-89-05-763523号对</w:t>
            </w:r>
            <w:r>
              <w:rPr>
                <w:rFonts w:hint="eastAsia"/>
                <w:color w:val="000000" w:themeColor="text1"/>
                <w:sz w:val="24"/>
                <w14:textFill>
                  <w14:solidFill>
                    <w14:schemeClr w14:val="tx1"/>
                  </w14:solidFill>
                </w14:textFill>
              </w:rPr>
              <w:t>该项目予以备案（见附件2）。</w:t>
            </w:r>
          </w:p>
          <w:p>
            <w:pPr>
              <w:adjustRightInd w:val="0"/>
              <w:snapToGrid w:val="0"/>
              <w:spacing w:line="480" w:lineRule="exact"/>
              <w:rPr>
                <w:rFonts w:hAnsi="黑体"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1.</w:t>
            </w:r>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分析判定项目建设可行性分析</w:t>
            </w:r>
          </w:p>
          <w:p>
            <w:pPr>
              <w:adjustRightInd w:val="0"/>
              <w:snapToGrid w:val="0"/>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1、产业政策符合性</w:t>
            </w:r>
          </w:p>
          <w:p>
            <w:pPr>
              <w:autoSpaceDE w:val="0"/>
              <w:autoSpaceDN w:val="0"/>
              <w:adjustRightInd w:val="0"/>
              <w:snapToGrid w:val="0"/>
              <w:spacing w:line="500" w:lineRule="exact"/>
              <w:ind w:firstLine="480" w:firstLineChars="200"/>
              <w:rPr>
                <w:sz w:val="24"/>
              </w:rPr>
            </w:pPr>
            <w:r>
              <w:rPr>
                <w:sz w:val="24"/>
              </w:rPr>
              <w:t>本项目为</w:t>
            </w:r>
            <w:r>
              <w:rPr>
                <w:rFonts w:hint="eastAsia"/>
                <w:sz w:val="24"/>
              </w:rPr>
              <w:t>型煤制造项目</w:t>
            </w:r>
            <w:r>
              <w:rPr>
                <w:sz w:val="24"/>
              </w:rPr>
              <w:t>。根据《产业结构调整指导目录（2019年本）》</w:t>
            </w:r>
            <w:r>
              <w:rPr>
                <w:rFonts w:hint="eastAsia"/>
                <w:sz w:val="24"/>
              </w:rPr>
              <w:t>，</w:t>
            </w:r>
            <w:r>
              <w:rPr>
                <w:sz w:val="24"/>
              </w:rPr>
              <w:t>属于鼓励类</w:t>
            </w:r>
            <w:r>
              <w:rPr>
                <w:rFonts w:hint="eastAsia"/>
                <w:sz w:val="24"/>
              </w:rPr>
              <w:t>—“三、煤炭-3、型煤及水煤浆技术开发与应用”</w:t>
            </w:r>
            <w:r>
              <w:rPr>
                <w:sz w:val="24"/>
              </w:rPr>
              <w:t>，视为</w:t>
            </w:r>
            <w:r>
              <w:rPr>
                <w:rFonts w:hint="eastAsia"/>
                <w:sz w:val="24"/>
              </w:rPr>
              <w:t>鼓励</w:t>
            </w:r>
            <w:r>
              <w:rPr>
                <w:sz w:val="24"/>
              </w:rPr>
              <w:t>类项目。因此，本项目符合国家产业政策要求。</w:t>
            </w:r>
          </w:p>
          <w:p>
            <w:pPr>
              <w:autoSpaceDE w:val="0"/>
              <w:autoSpaceDN w:val="0"/>
              <w:adjustRightInd w:val="0"/>
              <w:snapToGrid w:val="0"/>
              <w:spacing w:line="500" w:lineRule="exact"/>
              <w:ind w:firstLine="480" w:firstLineChars="200"/>
              <w:rPr>
                <w:sz w:val="24"/>
              </w:rPr>
            </w:pPr>
            <w:r>
              <w:rPr>
                <w:rFonts w:hint="eastAsia"/>
                <w:color w:val="000000" w:themeColor="text1"/>
                <w:sz w:val="24"/>
                <w14:textFill>
                  <w14:solidFill>
                    <w14:schemeClr w14:val="tx1"/>
                  </w14:solidFill>
                </w14:textFill>
              </w:rPr>
              <w:t>宁武县行政审批服务管理局以</w:t>
            </w:r>
            <w:r>
              <w:rPr>
                <w:rFonts w:hint="eastAsia"/>
                <w:bCs/>
                <w:color w:val="000000" w:themeColor="text1"/>
                <w:sz w:val="24"/>
                <w14:textFill>
                  <w14:solidFill>
                    <w14:schemeClr w14:val="tx1"/>
                  </w14:solidFill>
                </w14:textFill>
              </w:rPr>
              <w:t>2012-140925-89-05-763523</w:t>
            </w:r>
            <w:r>
              <w:rPr>
                <w:rFonts w:hint="eastAsia"/>
                <w:color w:val="000000" w:themeColor="text1"/>
                <w:sz w:val="24"/>
                <w14:textFill>
                  <w14:solidFill>
                    <w14:schemeClr w14:val="tx1"/>
                  </w14:solidFill>
                </w14:textFill>
              </w:rPr>
              <w:t>号对该项目予以备案</w:t>
            </w:r>
            <w:r>
              <w:rPr>
                <w:sz w:val="24"/>
              </w:rPr>
              <w:t>。</w:t>
            </w:r>
          </w:p>
          <w:p>
            <w:pPr>
              <w:adjustRightInd w:val="0"/>
              <w:snapToGrid w:val="0"/>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2、与城市总体规划的符合性分析</w:t>
            </w:r>
          </w:p>
          <w:p>
            <w:pPr>
              <w:spacing w:line="500" w:lineRule="exact"/>
              <w:ind w:firstLine="480" w:firstLineChars="200"/>
              <w:rPr>
                <w:sz w:val="24"/>
              </w:rPr>
            </w:pPr>
            <w:r>
              <w:rPr>
                <w:sz w:val="24"/>
              </w:rPr>
              <w:t>本项目建设地点位于</w:t>
            </w:r>
            <w:r>
              <w:rPr>
                <w:rFonts w:hint="eastAsia"/>
                <w:bCs/>
                <w:color w:val="000000" w:themeColor="text1"/>
                <w:sz w:val="24"/>
                <w14:textFill>
                  <w14:solidFill>
                    <w14:schemeClr w14:val="tx1"/>
                  </w14:solidFill>
                </w14:textFill>
              </w:rPr>
              <w:t>山西省忻州市宁武县凤凰镇前石湖村约东南560m</w:t>
            </w:r>
            <w:r>
              <w:rPr>
                <w:sz w:val="24"/>
              </w:rPr>
              <w:t>，不在</w:t>
            </w:r>
            <w:r>
              <w:rPr>
                <w:rFonts w:hint="eastAsia"/>
                <w:sz w:val="24"/>
              </w:rPr>
              <w:t>宁武</w:t>
            </w:r>
            <w:r>
              <w:rPr>
                <w:sz w:val="24"/>
              </w:rPr>
              <w:t>县城</w:t>
            </w:r>
            <w:r>
              <w:rPr>
                <w:spacing w:val="4"/>
                <w:sz w:val="24"/>
              </w:rPr>
              <w:t>规划范围内</w:t>
            </w:r>
            <w:r>
              <w:rPr>
                <w:sz w:val="24"/>
              </w:rPr>
              <w:t>，本项目的建设不违背区域总体规划要求。</w:t>
            </w:r>
          </w:p>
          <w:p>
            <w:pPr>
              <w:adjustRightInd w:val="0"/>
              <w:snapToGrid w:val="0"/>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3、三线一单符合性分析</w:t>
            </w:r>
          </w:p>
          <w:p>
            <w:pPr>
              <w:pStyle w:val="2"/>
              <w:spacing w:line="500" w:lineRule="exact"/>
              <w:ind w:firstLine="480" w:firstLineChars="200"/>
              <w:jc w:val="both"/>
              <w:rPr>
                <w:rFonts w:ascii="Times New Roman" w:eastAsiaTheme="minorEastAsia"/>
                <w:color w:val="auto"/>
                <w:kern w:val="2"/>
              </w:rPr>
            </w:pPr>
            <w:r>
              <w:rPr>
                <w:rFonts w:ascii="Times New Roman" w:eastAsiaTheme="minorEastAsia"/>
                <w:color w:val="auto"/>
                <w:kern w:val="2"/>
              </w:rPr>
              <w:t>根据环保部颁布的《关于以改善环境质量为核心加强环境影响评价管理的通知》要求，全面加强环境影响评价管理，落实“生态保护红线、环境质量底线、资源利用上线和环境准入负面清单”约束。本项目与“三线一单”符合性分析如下：</w:t>
            </w:r>
          </w:p>
          <w:p>
            <w:pPr>
              <w:adjustRightInd w:val="0"/>
              <w:snapToGrid w:val="0"/>
              <w:spacing w:line="500" w:lineRule="exact"/>
              <w:ind w:firstLine="480" w:firstLineChars="200"/>
              <w:rPr>
                <w:sz w:val="24"/>
              </w:rPr>
            </w:pPr>
            <w:r>
              <w:rPr>
                <w:sz w:val="24"/>
              </w:rPr>
              <w:t>（1）生态保护红线</w:t>
            </w:r>
          </w:p>
          <w:p>
            <w:pPr>
              <w:adjustRightInd w:val="0"/>
              <w:snapToGrid w:val="0"/>
              <w:spacing w:line="500" w:lineRule="exact"/>
              <w:ind w:firstLine="488" w:firstLineChars="200"/>
              <w:rPr>
                <w:sz w:val="24"/>
              </w:rPr>
            </w:pPr>
            <w:r>
              <w:rPr>
                <w:rFonts w:hint="eastAsia"/>
                <w:spacing w:val="2"/>
                <w:sz w:val="24"/>
              </w:rPr>
              <w:t>宁武</w:t>
            </w:r>
            <w:r>
              <w:rPr>
                <w:spacing w:val="2"/>
                <w:sz w:val="24"/>
              </w:rPr>
              <w:t>县目前正在划分生态保护红线。本次环评对照区域水源保护区、自然保护区、生态功能区划和生态经济区划资料等进行分析。本项目位于</w:t>
            </w:r>
            <w:r>
              <w:rPr>
                <w:rFonts w:hint="eastAsia"/>
                <w:bCs/>
                <w:color w:val="000000" w:themeColor="text1"/>
                <w:sz w:val="24"/>
                <w14:textFill>
                  <w14:solidFill>
                    <w14:schemeClr w14:val="tx1"/>
                  </w14:solidFill>
                </w14:textFill>
              </w:rPr>
              <w:t>山西省忻州市宁武县凤凰镇前石湖村约东南560m</w:t>
            </w:r>
            <w:r>
              <w:rPr>
                <w:spacing w:val="2"/>
                <w:sz w:val="24"/>
              </w:rPr>
              <w:t>，项目不位于自然保护区、风景名胜区、饮用水水源保护区、森林公园、地质公园等，重要生态功能区、生态敏感区和脆弱区以及其他要求禁止建设的环境敏感区内，</w:t>
            </w:r>
            <w:r>
              <w:rPr>
                <w:rFonts w:hint="eastAsia"/>
                <w:spacing w:val="2"/>
                <w:sz w:val="24"/>
              </w:rPr>
              <w:t>本项目</w:t>
            </w:r>
            <w:r>
              <w:rPr>
                <w:sz w:val="24"/>
              </w:rPr>
              <w:t>位于</w:t>
            </w:r>
            <w:r>
              <w:rPr>
                <w:rFonts w:hint="eastAsia" w:ascii="宋体" w:hAnsi="宋体" w:cs="宋体"/>
                <w:sz w:val="24"/>
              </w:rPr>
              <w:t>Ⅱ</w:t>
            </w:r>
            <w:r>
              <w:rPr>
                <w:rFonts w:hint="eastAsia"/>
                <w:sz w:val="24"/>
              </w:rPr>
              <w:t>宁武县恢河流域营养物质和水土保持生态功能小区和</w:t>
            </w:r>
            <w:r>
              <w:rPr>
                <w:rFonts w:hint="eastAsia" w:ascii="宋体" w:hAnsi="宋体" w:cs="宋体"/>
                <w:sz w:val="24"/>
              </w:rPr>
              <w:t>Ⅲ</w:t>
            </w:r>
            <w:r>
              <w:rPr>
                <w:rFonts w:hint="eastAsia"/>
                <w:sz w:val="24"/>
              </w:rPr>
              <w:t>3宁武县薛家洼乡生态农牧业经济区（重点开发区），本项目主要为型煤生产，建设全封闭煤棚以及硬化厂区路面等措施，并对厂区内外均进行绿化，</w:t>
            </w:r>
            <w:r>
              <w:rPr>
                <w:spacing w:val="2"/>
                <w:sz w:val="24"/>
              </w:rPr>
              <w:t>符合生态保护红线的划定原则。</w:t>
            </w:r>
          </w:p>
          <w:p>
            <w:pPr>
              <w:adjustRightInd w:val="0"/>
              <w:snapToGrid w:val="0"/>
              <w:spacing w:line="500" w:lineRule="exact"/>
              <w:ind w:firstLine="480" w:firstLineChars="200"/>
              <w:rPr>
                <w:sz w:val="24"/>
              </w:rPr>
            </w:pPr>
            <w:r>
              <w:rPr>
                <w:sz w:val="24"/>
              </w:rPr>
              <w:t>（2）环境质量底线</w:t>
            </w:r>
          </w:p>
          <w:p>
            <w:pPr>
              <w:adjustRightInd w:val="0"/>
              <w:snapToGrid w:val="0"/>
              <w:spacing w:line="500" w:lineRule="exact"/>
              <w:ind w:firstLine="480" w:firstLineChars="200"/>
              <w:rPr>
                <w:bCs/>
                <w:sz w:val="24"/>
              </w:rPr>
            </w:pPr>
            <w:r>
              <w:rPr>
                <w:bCs/>
                <w:sz w:val="24"/>
              </w:rPr>
              <w:t>为了了解区域环境空气质量现状，本次评价引用了</w:t>
            </w:r>
            <w:r>
              <w:rPr>
                <w:rFonts w:hint="eastAsia"/>
                <w:bCs/>
                <w:sz w:val="24"/>
              </w:rPr>
              <w:t>宁武县</w:t>
            </w:r>
            <w:r>
              <w:rPr>
                <w:bCs/>
                <w:sz w:val="24"/>
              </w:rPr>
              <w:t>201</w:t>
            </w:r>
            <w:r>
              <w:rPr>
                <w:rFonts w:hint="eastAsia"/>
                <w:bCs/>
                <w:sz w:val="24"/>
              </w:rPr>
              <w:t>9</w:t>
            </w:r>
            <w:r>
              <w:rPr>
                <w:bCs/>
                <w:sz w:val="24"/>
              </w:rPr>
              <w:t>年环境空气质量年平均浓度值报表。据统计结果分析，</w:t>
            </w:r>
            <w:r>
              <w:rPr>
                <w:rFonts w:hint="eastAsia"/>
                <w:bCs/>
                <w:sz w:val="24"/>
              </w:rPr>
              <w:t>NO</w:t>
            </w:r>
            <w:r>
              <w:rPr>
                <w:rFonts w:hint="eastAsia"/>
                <w:bCs/>
                <w:sz w:val="24"/>
                <w:vertAlign w:val="subscript"/>
              </w:rPr>
              <w:t>2</w:t>
            </w:r>
            <w:r>
              <w:rPr>
                <w:rFonts w:hint="eastAsia"/>
                <w:bCs/>
                <w:sz w:val="24"/>
              </w:rPr>
              <w:t>、CO、O</w:t>
            </w:r>
            <w:r>
              <w:rPr>
                <w:rFonts w:hint="eastAsia"/>
                <w:bCs/>
                <w:sz w:val="24"/>
                <w:vertAlign w:val="subscript"/>
              </w:rPr>
              <w:t>3</w:t>
            </w:r>
            <w:r>
              <w:rPr>
                <w:rFonts w:hint="eastAsia"/>
                <w:bCs/>
                <w:sz w:val="24"/>
              </w:rPr>
              <w:t>、</w:t>
            </w:r>
            <w:r>
              <w:rPr>
                <w:sz w:val="24"/>
              </w:rPr>
              <w:t>PM</w:t>
            </w:r>
            <w:r>
              <w:rPr>
                <w:sz w:val="24"/>
                <w:vertAlign w:val="subscript"/>
              </w:rPr>
              <w:t>10</w:t>
            </w:r>
            <w:r>
              <w:rPr>
                <w:sz w:val="24"/>
              </w:rPr>
              <w:t>、PM</w:t>
            </w:r>
            <w:r>
              <w:rPr>
                <w:sz w:val="24"/>
                <w:vertAlign w:val="subscript"/>
              </w:rPr>
              <w:t>2.5</w:t>
            </w:r>
            <w:r>
              <w:rPr>
                <w:sz w:val="24"/>
              </w:rPr>
              <w:t>、SO</w:t>
            </w:r>
            <w:r>
              <w:rPr>
                <w:sz w:val="24"/>
                <w:vertAlign w:val="subscript"/>
              </w:rPr>
              <w:t>2</w:t>
            </w:r>
            <w:r>
              <w:rPr>
                <w:sz w:val="24"/>
              </w:rPr>
              <w:t>年均值</w:t>
            </w:r>
            <w:r>
              <w:rPr>
                <w:rFonts w:hint="eastAsia"/>
                <w:sz w:val="24"/>
              </w:rPr>
              <w:t>均</w:t>
            </w:r>
            <w:r>
              <w:rPr>
                <w:sz w:val="24"/>
              </w:rPr>
              <w:t>满足《环境空气质量标准》（GB3095-2012）二级标准要求</w:t>
            </w:r>
            <w:r>
              <w:rPr>
                <w:rFonts w:hint="eastAsia"/>
                <w:sz w:val="24"/>
              </w:rPr>
              <w:t>，即</w:t>
            </w:r>
            <w:r>
              <w:rPr>
                <w:bCs/>
                <w:sz w:val="24"/>
              </w:rPr>
              <w:t>项目所在地区域环境空气为达标区。项目严格按照环评提出的除尘措施建设和管理后，大气污染物排放量较小，对环境空气影响较小；项目不产生外排废水，对地表水不产生影响。根据建设单位委托</w:t>
            </w:r>
            <w:r>
              <w:rPr>
                <w:rFonts w:hint="eastAsia"/>
                <w:bCs/>
                <w:sz w:val="24"/>
              </w:rPr>
              <w:t>山西昌兴同创安全技术服务有限公司</w:t>
            </w:r>
            <w:r>
              <w:rPr>
                <w:bCs/>
                <w:sz w:val="24"/>
              </w:rPr>
              <w:t>对项目所在地噪声进行的实测结果可知，项目周围声环境质量良好。</w:t>
            </w:r>
          </w:p>
          <w:p>
            <w:pPr>
              <w:adjustRightInd w:val="0"/>
              <w:snapToGrid w:val="0"/>
              <w:spacing w:line="500" w:lineRule="exact"/>
              <w:ind w:firstLine="480" w:firstLineChars="200"/>
              <w:rPr>
                <w:bCs/>
                <w:sz w:val="24"/>
              </w:rPr>
            </w:pPr>
            <w:r>
              <w:rPr>
                <w:bCs/>
                <w:sz w:val="24"/>
              </w:rPr>
              <w:t>（3）资源利用上线</w:t>
            </w:r>
          </w:p>
          <w:p>
            <w:pPr>
              <w:adjustRightInd w:val="0"/>
              <w:snapToGrid w:val="0"/>
              <w:spacing w:line="500" w:lineRule="exact"/>
              <w:ind w:firstLine="480" w:firstLineChars="200"/>
              <w:rPr>
                <w:bCs/>
                <w:sz w:val="24"/>
              </w:rPr>
            </w:pPr>
            <w:r>
              <w:rPr>
                <w:bCs/>
                <w:sz w:val="24"/>
              </w:rPr>
              <w:t>本项目使用的资源主要有水资源、电能，项目所在区周围资源丰富，项目投入使用后利用节能设备，减少能源的用量，符合资源利用上线要求。</w:t>
            </w:r>
          </w:p>
          <w:p>
            <w:pPr>
              <w:adjustRightInd w:val="0"/>
              <w:snapToGrid w:val="0"/>
              <w:spacing w:line="500" w:lineRule="exact"/>
              <w:ind w:firstLine="480" w:firstLineChars="200"/>
              <w:rPr>
                <w:sz w:val="24"/>
              </w:rPr>
            </w:pPr>
            <w:r>
              <w:rPr>
                <w:sz w:val="24"/>
              </w:rPr>
              <w:t>（4）环境准入负面清单</w:t>
            </w:r>
          </w:p>
          <w:p>
            <w:pPr>
              <w:spacing w:line="500" w:lineRule="exact"/>
              <w:ind w:firstLine="480" w:firstLineChars="200"/>
              <w:rPr>
                <w:bCs/>
                <w:spacing w:val="4"/>
                <w:sz w:val="24"/>
              </w:rPr>
            </w:pPr>
            <w:r>
              <w:rPr>
                <w:sz w:val="24"/>
              </w:rPr>
              <w:t>本项目所在地没有环境准入负面清单，本项目无重大污染。本次环评对照国家产业政策进行说明。根据中华人民共和国发展和改革委员会令（第</w:t>
            </w:r>
            <w:r>
              <w:rPr>
                <w:rFonts w:hint="eastAsia"/>
                <w:sz w:val="24"/>
              </w:rPr>
              <w:t>29</w:t>
            </w:r>
            <w:r>
              <w:rPr>
                <w:sz w:val="24"/>
              </w:rPr>
              <w:t>号）《产业结构调整指导目录（201</w:t>
            </w:r>
            <w:r>
              <w:rPr>
                <w:rFonts w:hint="eastAsia"/>
                <w:sz w:val="24"/>
              </w:rPr>
              <w:t>9</w:t>
            </w:r>
            <w:r>
              <w:rPr>
                <w:sz w:val="24"/>
              </w:rPr>
              <w:t>年本）》（201</w:t>
            </w:r>
            <w:r>
              <w:rPr>
                <w:rFonts w:hint="eastAsia"/>
                <w:sz w:val="24"/>
              </w:rPr>
              <w:t>9</w:t>
            </w:r>
            <w:r>
              <w:rPr>
                <w:sz w:val="24"/>
              </w:rPr>
              <w:t>年</w:t>
            </w:r>
            <w:r>
              <w:rPr>
                <w:rFonts w:hint="eastAsia"/>
                <w:sz w:val="24"/>
              </w:rPr>
              <w:t>8</w:t>
            </w:r>
            <w:r>
              <w:rPr>
                <w:sz w:val="24"/>
              </w:rPr>
              <w:t>月</w:t>
            </w:r>
            <w:r>
              <w:rPr>
                <w:rFonts w:hint="eastAsia"/>
                <w:sz w:val="24"/>
              </w:rPr>
              <w:t>27</w:t>
            </w:r>
            <w:r>
              <w:rPr>
                <w:sz w:val="24"/>
              </w:rPr>
              <w:t>日修改），本项目属于</w:t>
            </w:r>
            <w:r>
              <w:rPr>
                <w:rFonts w:hint="eastAsia"/>
                <w:sz w:val="24"/>
              </w:rPr>
              <w:t>鼓励</w:t>
            </w:r>
            <w:r>
              <w:rPr>
                <w:sz w:val="24"/>
              </w:rPr>
              <w:t>类项目</w:t>
            </w:r>
            <w:r>
              <w:rPr>
                <w:bCs/>
                <w:spacing w:val="4"/>
                <w:sz w:val="24"/>
              </w:rPr>
              <w:t>。因此，本项目符合国家产业政策。</w:t>
            </w:r>
          </w:p>
          <w:p>
            <w:pPr>
              <w:spacing w:line="500" w:lineRule="exact"/>
              <w:ind w:firstLine="482" w:firstLineChars="200"/>
              <w:rPr>
                <w:b/>
                <w:kern w:val="0"/>
                <w:sz w:val="24"/>
              </w:rPr>
            </w:pPr>
            <w:r>
              <w:rPr>
                <w:rFonts w:hint="eastAsia"/>
                <w:b/>
                <w:kern w:val="0"/>
                <w:sz w:val="24"/>
              </w:rPr>
              <w:t>4、</w:t>
            </w:r>
            <w:r>
              <w:rPr>
                <w:rFonts w:hint="eastAsia"/>
                <w:b/>
                <w:bCs/>
                <w:sz w:val="24"/>
              </w:rPr>
              <w:t>大气污染防治政策</w:t>
            </w:r>
            <w:r>
              <w:rPr>
                <w:b/>
                <w:kern w:val="0"/>
                <w:sz w:val="24"/>
              </w:rPr>
              <w:t>符合性分析</w:t>
            </w:r>
          </w:p>
          <w:p>
            <w:pPr>
              <w:pStyle w:val="114"/>
              <w:spacing w:line="500" w:lineRule="exact"/>
              <w:ind w:firstLine="480" w:firstLineChars="200"/>
              <w:jc w:val="both"/>
              <w:rPr>
                <w:rFonts w:eastAsiaTheme="minorEastAsia"/>
                <w:kern w:val="0"/>
              </w:rPr>
            </w:pPr>
            <w:r>
              <w:rPr>
                <w:rFonts w:hint="eastAsia" w:eastAsiaTheme="minorEastAsia"/>
                <w:kern w:val="0"/>
              </w:rPr>
              <w:t>按照《忻州市大气污染防治条例》要求“向大气排放粉尘的企业应当安装净化装置或者采取其他措施，防止污染周边环境”，本项目安装布袋除尘装置进行抑尘，减少粉尘排放量，符合政策要求。按照《山西省打赢蓝天保卫战2020年决战计划》要求，施工工地场地扬尘整治“六个百分之百”；《忻州市大气污染防治2020年行动计划》要求，对粒状物料密闭储存，采用密闭皮带、密闭车厢等输送方式运输，块状物料采用入棚仓或建设防风抑尘网等方式进行储存，并设有洒水、喷淋、苫盖等综合措施进行抑尘；，生产工艺产尘点应加盖封闭，设置集气罩并配套除尘设施，生产现场和料场路面应实施硬化，出口处配套车轮和车身清洗装置，本项目符合环保政策要求。</w:t>
            </w:r>
          </w:p>
          <w:p>
            <w:pPr>
              <w:pStyle w:val="114"/>
              <w:spacing w:line="500" w:lineRule="exact"/>
              <w:ind w:firstLine="480" w:firstLineChars="200"/>
              <w:jc w:val="both"/>
              <w:rPr>
                <w:rFonts w:eastAsiaTheme="minorEastAsia"/>
                <w:kern w:val="0"/>
              </w:rPr>
            </w:pPr>
            <w:r>
              <w:rPr>
                <w:rFonts w:hint="eastAsia" w:eastAsiaTheme="minorEastAsia"/>
                <w:kern w:val="0"/>
              </w:rPr>
              <w:t>综上所述，本项目选址、建设可行，符合国家“三线一单”管控原则，符合大气污染防治相关政策。</w:t>
            </w:r>
          </w:p>
          <w:p>
            <w:pPr>
              <w:spacing w:line="500" w:lineRule="exact"/>
              <w:ind w:firstLine="482" w:firstLineChars="200"/>
              <w:rPr>
                <w:b/>
                <w:bCs/>
                <w:sz w:val="24"/>
              </w:rPr>
            </w:pPr>
            <w:r>
              <w:rPr>
                <w:rFonts w:hint="eastAsia"/>
                <w:b/>
                <w:bCs/>
                <w:sz w:val="24"/>
              </w:rPr>
              <w:t>5、其他符合性分析</w:t>
            </w:r>
          </w:p>
          <w:p>
            <w:pPr>
              <w:pStyle w:val="114"/>
              <w:spacing w:line="500" w:lineRule="exact"/>
              <w:ind w:firstLine="480" w:firstLineChars="200"/>
              <w:jc w:val="both"/>
              <w:rPr>
                <w:rFonts w:eastAsiaTheme="minorEastAsia"/>
                <w:kern w:val="0"/>
              </w:rPr>
            </w:pPr>
            <w:r>
              <w:rPr>
                <w:rFonts w:hint="eastAsia" w:eastAsiaTheme="minorEastAsia"/>
                <w:kern w:val="0"/>
              </w:rPr>
              <w:t>本项目位于山西省忻州市宁武县凤凰镇前石湖村约东南560m，不在宁武县禁煤区，距离本项目最近的地表水体为项目北侧310m处的石湖河，项目所在区域无集中饮用水水源地。</w:t>
            </w:r>
          </w:p>
          <w:p>
            <w:pPr>
              <w:adjustRightInd w:val="0"/>
              <w:snapToGrid w:val="0"/>
              <w:spacing w:line="480" w:lineRule="exact"/>
              <w:rPr>
                <w:rFonts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1.3评价任务由来</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根据《中华人民共和国环境保护法》、《中华人民共和国环境影响评价法》、《建设项目环境保护管理条例》及有关法律法规要求，本</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需进行环境影响评价工作</w:t>
            </w:r>
            <w:r>
              <w:rPr>
                <w:rFonts w:hint="eastAsia"/>
                <w:color w:val="000000" w:themeColor="text1"/>
                <w:sz w:val="24"/>
                <w14:textFill>
                  <w14:solidFill>
                    <w14:schemeClr w14:val="tx1"/>
                  </w14:solidFill>
                </w14:textFill>
              </w:rPr>
              <w:t>。</w:t>
            </w:r>
            <w:r>
              <w:rPr>
                <w:bCs/>
                <w:color w:val="000000" w:themeColor="text1"/>
                <w:sz w:val="24"/>
                <w14:textFill>
                  <w14:solidFill>
                    <w14:schemeClr w14:val="tx1"/>
                  </w14:solidFill>
                </w14:textFill>
              </w:rPr>
              <w:t>本项目属于《建设项目环境影响评价分类管理名录》</w:t>
            </w:r>
            <w:r>
              <w:rPr>
                <w:rFonts w:hint="eastAsia"/>
                <w:bCs/>
                <w:color w:val="000000" w:themeColor="text1"/>
                <w:sz w:val="24"/>
                <w14:textFill>
                  <w14:solidFill>
                    <w14:schemeClr w14:val="tx1"/>
                  </w14:solidFill>
                </w14:textFill>
              </w:rPr>
              <w:t>（2021版）</w:t>
            </w:r>
            <w:r>
              <w:rPr>
                <w:bCs/>
                <w:color w:val="000000" w:themeColor="text1"/>
                <w:sz w:val="24"/>
                <w14:textFill>
                  <w14:solidFill>
                    <w14:schemeClr w14:val="tx1"/>
                  </w14:solidFill>
                </w14:textFill>
              </w:rPr>
              <w:t>中</w:t>
            </w:r>
            <w:r>
              <w:rPr>
                <w:rFonts w:hint="eastAsia"/>
                <w:bCs/>
                <w:color w:val="000000" w:themeColor="text1"/>
                <w:sz w:val="24"/>
                <w14:textFill>
                  <w14:solidFill>
                    <w14:schemeClr w14:val="tx1"/>
                  </w14:solidFill>
                </w14:textFill>
              </w:rPr>
              <w:t>“二十二、石油、煤炭及其他燃料加工业 煤炭加工252 煤制品制造；其他煤炭加工”</w:t>
            </w:r>
            <w:r>
              <w:rPr>
                <w:color w:val="000000" w:themeColor="text1"/>
                <w:sz w:val="24"/>
                <w14:textFill>
                  <w14:solidFill>
                    <w14:schemeClr w14:val="tx1"/>
                  </w14:solidFill>
                </w14:textFill>
              </w:rPr>
              <w:t>，</w:t>
            </w:r>
            <w:r>
              <w:rPr>
                <w:bCs/>
                <w:color w:val="000000" w:themeColor="text1"/>
                <w:sz w:val="24"/>
                <w14:textFill>
                  <w14:solidFill>
                    <w14:schemeClr w14:val="tx1"/>
                  </w14:solidFill>
                </w14:textFill>
              </w:rPr>
              <w:t>应编制环境影响报告表</w:t>
            </w:r>
            <w:r>
              <w:rPr>
                <w:rFonts w:hint="eastAsia"/>
                <w:bCs/>
                <w:color w:val="000000" w:themeColor="text1"/>
                <w:sz w:val="24"/>
                <w14:textFill>
                  <w14:solidFill>
                    <w14:schemeClr w14:val="tx1"/>
                  </w14:solidFill>
                </w14:textFill>
              </w:rPr>
              <w:t>。</w:t>
            </w:r>
          </w:p>
          <w:p>
            <w:pPr>
              <w:adjustRightInd w:val="0"/>
              <w:snapToGrid w:val="0"/>
              <w:spacing w:line="480" w:lineRule="exact"/>
              <w:ind w:firstLine="480" w:firstLineChars="200"/>
              <w:rPr>
                <w:color w:val="000000" w:themeColor="text1"/>
                <w:kern w:val="0"/>
                <w:sz w:val="24"/>
                <w14:textFill>
                  <w14:solidFill>
                    <w14:schemeClr w14:val="tx1"/>
                  </w14:solidFill>
                </w14:textFill>
              </w:rPr>
            </w:pPr>
            <w:r>
              <w:rPr>
                <w:rFonts w:hint="eastAsia"/>
                <w:bCs/>
                <w:color w:val="000000" w:themeColor="text1"/>
                <w:sz w:val="24"/>
                <w14:textFill>
                  <w14:solidFill>
                    <w14:schemeClr w14:val="tx1"/>
                  </w14:solidFill>
                </w14:textFill>
              </w:rPr>
              <w:t>宁武县华盛储售煤有限公司</w:t>
            </w:r>
            <w:r>
              <w:rPr>
                <w:rFonts w:hint="eastAsia"/>
                <w:color w:val="000000" w:themeColor="text1"/>
                <w:sz w:val="24"/>
                <w14:textFill>
                  <w14:solidFill>
                    <w14:schemeClr w14:val="tx1"/>
                  </w14:solidFill>
                </w14:textFill>
              </w:rPr>
              <w:t>于2</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年</w:t>
            </w:r>
            <w:r>
              <w:rPr>
                <w:rFonts w:hint="eastAsia"/>
                <w:color w:val="000000" w:themeColor="text1"/>
                <w:sz w:val="24"/>
                <w14:textFill>
                  <w14:solidFill>
                    <w14:schemeClr w14:val="tx1"/>
                  </w14:solidFill>
                </w14:textFill>
              </w:rPr>
              <w:t>12</w:t>
            </w:r>
            <w:r>
              <w:rPr>
                <w:color w:val="000000" w:themeColor="text1"/>
                <w:sz w:val="24"/>
                <w14:textFill>
                  <w14:solidFill>
                    <w14:schemeClr w14:val="tx1"/>
                  </w14:solidFill>
                </w14:textFill>
              </w:rPr>
              <w:t>月正式委托</w:t>
            </w:r>
            <w:r>
              <w:rPr>
                <w:rFonts w:hint="eastAsia"/>
                <w:color w:val="000000" w:themeColor="text1"/>
                <w:sz w:val="24"/>
                <w14:textFill>
                  <w14:solidFill>
                    <w14:schemeClr w14:val="tx1"/>
                  </w14:solidFill>
                </w14:textFill>
              </w:rPr>
              <w:t>我</w:t>
            </w:r>
            <w:r>
              <w:rPr>
                <w:color w:val="000000" w:themeColor="text1"/>
                <w:sz w:val="24"/>
                <w14:textFill>
                  <w14:solidFill>
                    <w14:schemeClr w14:val="tx1"/>
                  </w14:solidFill>
                </w14:textFill>
              </w:rPr>
              <w:t>公司承担本项目的环境影响评价工作</w:t>
            </w:r>
            <w:r>
              <w:rPr>
                <w:bCs/>
                <w:color w:val="000000" w:themeColor="text1"/>
                <w:sz w:val="24"/>
                <w14:textFill>
                  <w14:solidFill>
                    <w14:schemeClr w14:val="tx1"/>
                  </w14:solidFill>
                </w14:textFill>
              </w:rPr>
              <w:t>（委托书见附件）</w:t>
            </w:r>
            <w:r>
              <w:rPr>
                <w:color w:val="000000" w:themeColor="text1"/>
                <w:sz w:val="24"/>
                <w14:textFill>
                  <w14:solidFill>
                    <w14:schemeClr w14:val="tx1"/>
                  </w14:solidFill>
                </w14:textFill>
              </w:rPr>
              <w:t>。接受委托后，我单位立即组织项目参评人员进行现场踏勘，</w:t>
            </w:r>
            <w:r>
              <w:rPr>
                <w:bCs/>
                <w:color w:val="000000" w:themeColor="text1"/>
                <w:sz w:val="24"/>
                <w14:textFill>
                  <w14:solidFill>
                    <w14:schemeClr w14:val="tx1"/>
                  </w14:solidFill>
                </w14:textFill>
              </w:rPr>
              <w:t>详细了解了</w:t>
            </w:r>
            <w:r>
              <w:rPr>
                <w:rFonts w:hint="eastAsia"/>
                <w:bCs/>
                <w:color w:val="000000" w:themeColor="text1"/>
                <w:sz w:val="24"/>
                <w14:textFill>
                  <w14:solidFill>
                    <w14:schemeClr w14:val="tx1"/>
                  </w14:solidFill>
                </w14:textFill>
              </w:rPr>
              <w:t>项目</w:t>
            </w:r>
            <w:r>
              <w:rPr>
                <w:bCs/>
                <w:color w:val="000000" w:themeColor="text1"/>
                <w:sz w:val="24"/>
                <w14:textFill>
                  <w14:solidFill>
                    <w14:schemeClr w14:val="tx1"/>
                  </w14:solidFill>
                </w14:textFill>
              </w:rPr>
              <w:t>建设内容和生产工艺，收集了当地区域自然环境资料。</w:t>
            </w:r>
            <w:r>
              <w:rPr>
                <w:color w:val="000000" w:themeColor="text1"/>
                <w:kern w:val="0"/>
                <w:sz w:val="24"/>
                <w14:textFill>
                  <w14:solidFill>
                    <w14:schemeClr w14:val="tx1"/>
                  </w14:solidFill>
                </w14:textFill>
              </w:rPr>
              <w:t>在此基础上编制完成了</w:t>
            </w:r>
            <w:r>
              <w:rPr>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宁武县华盛储售煤有限公司型煤生产项目</w:t>
            </w:r>
            <w:r>
              <w:rPr>
                <w:color w:val="000000" w:themeColor="text1"/>
                <w:sz w:val="24"/>
                <w14:textFill>
                  <w14:solidFill>
                    <w14:schemeClr w14:val="tx1"/>
                  </w14:solidFill>
                </w14:textFill>
              </w:rPr>
              <w:t>环境影响报告表》</w:t>
            </w:r>
            <w:r>
              <w:rPr>
                <w:color w:val="000000" w:themeColor="text1"/>
                <w:kern w:val="0"/>
                <w:sz w:val="24"/>
                <w14:textFill>
                  <w14:solidFill>
                    <w14:schemeClr w14:val="tx1"/>
                  </w14:solidFill>
                </w14:textFill>
              </w:rPr>
              <w:t>（送审本）。</w:t>
            </w:r>
          </w:p>
          <w:p>
            <w:pPr>
              <w:adjustRightInd w:val="0"/>
              <w:snapToGrid w:val="0"/>
              <w:spacing w:line="480" w:lineRule="exac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2021年3月11日，忻州市生态环境保护局宁武分局邀请环保专家对《宁武县华盛储售煤有限公司型煤生产项目</w:t>
            </w:r>
            <w:r>
              <w:rPr>
                <w:color w:val="000000" w:themeColor="text1"/>
                <w:sz w:val="24"/>
                <w14:textFill>
                  <w14:solidFill>
                    <w14:schemeClr w14:val="tx1"/>
                  </w14:solidFill>
                </w14:textFill>
              </w:rPr>
              <w:t>环境影响报告表</w:t>
            </w:r>
            <w:r>
              <w:rPr>
                <w:rFonts w:hint="eastAsia"/>
                <w:bCs/>
                <w:color w:val="000000" w:themeColor="text1"/>
                <w:sz w:val="24"/>
                <w14:textFill>
                  <w14:solidFill>
                    <w14:schemeClr w14:val="tx1"/>
                  </w14:solidFill>
                </w14:textFill>
              </w:rPr>
              <w:t>》进行技术函审。经认真审查，最终形成了报告表技术审查意见。我单位工作人员根据技术审查意见对报告表进行了认真的修改、补充和完善，最终形成了《宁武县华盛储售煤有限公司型煤生产项目</w:t>
            </w:r>
            <w:r>
              <w:rPr>
                <w:color w:val="000000" w:themeColor="text1"/>
                <w:sz w:val="24"/>
                <w14:textFill>
                  <w14:solidFill>
                    <w14:schemeClr w14:val="tx1"/>
                  </w14:solidFill>
                </w14:textFill>
              </w:rPr>
              <w:t>环境影响报告表</w:t>
            </w:r>
            <w:r>
              <w:rPr>
                <w:rFonts w:hint="eastAsia"/>
                <w:bCs/>
                <w:color w:val="000000" w:themeColor="text1"/>
                <w:sz w:val="24"/>
                <w14:textFill>
                  <w14:solidFill>
                    <w14:schemeClr w14:val="tx1"/>
                  </w14:solidFill>
                </w14:textFill>
              </w:rPr>
              <w:t>》（报批本），现递交建设单位，报请审批部门审批。</w:t>
            </w:r>
          </w:p>
          <w:p>
            <w:pPr>
              <w:spacing w:line="480" w:lineRule="exact"/>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工程</w:t>
            </w:r>
            <w:r>
              <w:rPr>
                <w:rFonts w:eastAsia="黑体"/>
                <w:color w:val="000000" w:themeColor="text1"/>
                <w:sz w:val="24"/>
                <w14:textFill>
                  <w14:solidFill>
                    <w14:schemeClr w14:val="tx1"/>
                  </w14:solidFill>
                </w14:textFill>
              </w:rPr>
              <w:t>概况</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2.1工程基本概况</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（1）项目名称：</w:t>
            </w:r>
            <w:r>
              <w:rPr>
                <w:rFonts w:hint="eastAsia"/>
                <w:bCs/>
                <w:color w:val="000000" w:themeColor="text1"/>
                <w:sz w:val="24"/>
                <w14:textFill>
                  <w14:solidFill>
                    <w14:schemeClr w14:val="tx1"/>
                  </w14:solidFill>
                </w14:textFill>
              </w:rPr>
              <w:t>宁武县华盛储售煤有限公司型煤生产项目</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（2）建设单位：</w:t>
            </w:r>
            <w:r>
              <w:rPr>
                <w:rFonts w:hint="eastAsia"/>
                <w:bCs/>
                <w:color w:val="000000" w:themeColor="text1"/>
                <w:sz w:val="24"/>
                <w14:textFill>
                  <w14:solidFill>
                    <w14:schemeClr w14:val="tx1"/>
                  </w14:solidFill>
                </w14:textFill>
              </w:rPr>
              <w:t>宁武县华盛储售煤有限公司</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（3）建设规模：</w:t>
            </w:r>
            <w:r>
              <w:rPr>
                <w:rFonts w:hint="eastAsia"/>
                <w:bCs/>
                <w:color w:val="000000" w:themeColor="text1"/>
                <w:sz w:val="24"/>
                <w14:textFill>
                  <w14:solidFill>
                    <w14:schemeClr w14:val="tx1"/>
                  </w14:solidFill>
                </w14:textFill>
              </w:rPr>
              <w:t>年产50万吨型煤</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（4）总投资及来源：工程总投资</w:t>
            </w:r>
            <w:r>
              <w:rPr>
                <w:rFonts w:hint="eastAsia"/>
                <w:color w:val="000000" w:themeColor="text1"/>
                <w:sz w:val="24"/>
                <w14:textFill>
                  <w14:solidFill>
                    <w14:schemeClr w14:val="tx1"/>
                  </w14:solidFill>
                </w14:textFill>
              </w:rPr>
              <w:t>1000</w:t>
            </w:r>
            <w:r>
              <w:rPr>
                <w:color w:val="000000" w:themeColor="text1"/>
                <w:sz w:val="24"/>
                <w14:textFill>
                  <w14:solidFill>
                    <w14:schemeClr w14:val="tx1"/>
                  </w14:solidFill>
                </w14:textFill>
              </w:rPr>
              <w:t>万元，</w:t>
            </w:r>
            <w:r>
              <w:rPr>
                <w:rFonts w:hint="eastAsia"/>
                <w:color w:val="000000" w:themeColor="text1"/>
                <w:sz w:val="24"/>
                <w14:textFill>
                  <w14:solidFill>
                    <w14:schemeClr w14:val="tx1"/>
                  </w14:solidFill>
                </w14:textFill>
              </w:rPr>
              <w:t>资金全部自筹</w:t>
            </w:r>
            <w:r>
              <w:rPr>
                <w:color w:val="000000" w:themeColor="text1"/>
                <w:sz w:val="24"/>
                <w14:textFill>
                  <w14:solidFill>
                    <w14:schemeClr w14:val="tx1"/>
                  </w14:solidFill>
                </w14:textFill>
              </w:rPr>
              <w:t>。</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建设性质：新建</w:t>
            </w:r>
          </w:p>
          <w:p>
            <w:pPr>
              <w:spacing w:line="480" w:lineRule="exact"/>
              <w:ind w:firstLine="480" w:firstLineChars="200"/>
              <w:jc w:val="left"/>
              <w:rPr>
                <w:bCs/>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建设地点：本项目位于</w:t>
            </w:r>
            <w:r>
              <w:rPr>
                <w:rFonts w:hint="eastAsia"/>
                <w:bCs/>
                <w:color w:val="000000" w:themeColor="text1"/>
                <w:sz w:val="24"/>
                <w14:textFill>
                  <w14:solidFill>
                    <w14:schemeClr w14:val="tx1"/>
                  </w14:solidFill>
                </w14:textFill>
              </w:rPr>
              <w:t>山西省忻州市宁武县凤凰镇前石湖村约东南560m，</w:t>
            </w:r>
            <w:r>
              <w:rPr>
                <w:rFonts w:hint="eastAsia"/>
                <w:color w:val="000000" w:themeColor="text1"/>
                <w:sz w:val="24"/>
                <w14:textFill>
                  <w14:solidFill>
                    <w14:schemeClr w14:val="tx1"/>
                  </w14:solidFill>
                </w14:textFill>
              </w:rPr>
              <w:t>项目地理位置见附图1</w:t>
            </w:r>
            <w:r>
              <w:rPr>
                <w:rFonts w:hint="eastAsia" w:hAnsi="宋体"/>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四周均为荒地，西北侧约230米为企业厂房。</w:t>
            </w:r>
            <w:r>
              <w:rPr>
                <w:rFonts w:hint="eastAsia"/>
                <w:color w:val="000000" w:themeColor="text1"/>
                <w:sz w:val="24"/>
                <w14:textFill>
                  <w14:solidFill>
                    <w14:schemeClr w14:val="tx1"/>
                  </w14:solidFill>
                </w14:textFill>
              </w:rPr>
              <w:t>项目四邻关系见附图2。</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2.2工程</w:t>
            </w:r>
            <w:r>
              <w:rPr>
                <w:rFonts w:eastAsia="黑体"/>
                <w:color w:val="000000" w:themeColor="text1"/>
                <w:sz w:val="24"/>
                <w14:textFill>
                  <w14:solidFill>
                    <w14:schemeClr w14:val="tx1"/>
                  </w14:solidFill>
                </w14:textFill>
              </w:rPr>
              <w:t>主要建设内容</w:t>
            </w:r>
          </w:p>
          <w:p>
            <w:pPr>
              <w:spacing w:line="480" w:lineRule="exact"/>
              <w:ind w:firstLine="464" w:firstLineChars="200"/>
              <w:jc w:val="left"/>
              <w:rPr>
                <w:color w:val="000000" w:themeColor="text1"/>
                <w:sz w:val="24"/>
                <w14:textFill>
                  <w14:solidFill>
                    <w14:schemeClr w14:val="tx1"/>
                  </w14:solidFill>
                </w14:textFill>
              </w:rPr>
            </w:pPr>
            <w:r>
              <w:rPr>
                <w:color w:val="000000" w:themeColor="text1"/>
                <w:spacing w:val="-4"/>
                <w:sz w:val="24"/>
                <w14:textFill>
                  <w14:solidFill>
                    <w14:schemeClr w14:val="tx1"/>
                  </w14:solidFill>
                </w14:textFill>
              </w:rPr>
              <w:t>本项目</w:t>
            </w:r>
            <w:r>
              <w:rPr>
                <w:rFonts w:hint="eastAsia"/>
                <w:color w:val="000000" w:themeColor="text1"/>
                <w:spacing w:val="-4"/>
                <w:sz w:val="24"/>
                <w14:textFill>
                  <w14:solidFill>
                    <w14:schemeClr w14:val="tx1"/>
                  </w14:solidFill>
                </w14:textFill>
              </w:rPr>
              <w:t>主要为生产车间、破碎车间、原料堆场、成品库和办公生活区及相关环保设施的建设，购置破碎机、干粉添加剂、双轴搅拌机、煤球机等。项目</w:t>
            </w:r>
            <w:r>
              <w:rPr>
                <w:rFonts w:hint="eastAsia"/>
                <w:color w:val="000000" w:themeColor="text1"/>
                <w:sz w:val="24"/>
                <w14:textFill>
                  <w14:solidFill>
                    <w14:schemeClr w14:val="tx1"/>
                  </w14:solidFill>
                </w14:textFill>
              </w:rPr>
              <w:t>主要</w:t>
            </w:r>
            <w:r>
              <w:rPr>
                <w:color w:val="000000" w:themeColor="text1"/>
                <w:sz w:val="24"/>
                <w14:textFill>
                  <w14:solidFill>
                    <w14:schemeClr w14:val="tx1"/>
                  </w14:solidFill>
                </w14:textFill>
              </w:rPr>
              <w:t>建设内容见表</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w:t>
            </w:r>
          </w:p>
          <w:p>
            <w:pPr>
              <w:spacing w:line="48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1-1</w:t>
            </w:r>
            <w:r>
              <w:rPr>
                <w:b/>
                <w:color w:val="000000" w:themeColor="text1"/>
                <w:sz w:val="24"/>
                <w14:textFill>
                  <w14:solidFill>
                    <w14:schemeClr w14:val="tx1"/>
                  </w14:solidFill>
                </w14:textFill>
              </w:rPr>
              <w:t xml:space="preserve"> 主要建</w:t>
            </w:r>
            <w:r>
              <w:rPr>
                <w:rFonts w:hint="eastAsia"/>
                <w:b/>
                <w:color w:val="000000" w:themeColor="text1"/>
                <w:sz w:val="24"/>
                <w14:textFill>
                  <w14:solidFill>
                    <w14:schemeClr w14:val="tx1"/>
                  </w14:solidFill>
                </w14:textFill>
              </w:rPr>
              <w:t>设</w:t>
            </w:r>
            <w:r>
              <w:rPr>
                <w:b/>
                <w:color w:val="000000" w:themeColor="text1"/>
                <w:sz w:val="24"/>
                <w14:textFill>
                  <w14:solidFill>
                    <w14:schemeClr w14:val="tx1"/>
                  </w14:solidFill>
                </w14:textFill>
              </w:rPr>
              <w:t>内容</w:t>
            </w:r>
          </w:p>
          <w:tbl>
            <w:tblPr>
              <w:tblStyle w:val="32"/>
              <w:tblW w:w="4998" w:type="pct"/>
              <w:jc w:val="center"/>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503"/>
              <w:gridCol w:w="1168"/>
              <w:gridCol w:w="5576"/>
              <w:gridCol w:w="1134"/>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00" w:type="pct"/>
                  <w:gridSpan w:val="3"/>
                  <w:tcBorders>
                    <w:tl2br w:val="nil"/>
                    <w:tr2bl w:val="nil"/>
                  </w:tcBorders>
                  <w:vAlign w:val="center"/>
                </w:tcPr>
                <w:p>
                  <w:pPr>
                    <w:pStyle w:val="44"/>
                    <w:spacing w:before="60"/>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类别</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建设内容</w:t>
                  </w:r>
                </w:p>
              </w:tc>
              <w:tc>
                <w:tcPr>
                  <w:tcW w:w="625"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79"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主体工程</w:t>
                  </w:r>
                </w:p>
              </w:tc>
              <w:tc>
                <w:tcPr>
                  <w:tcW w:w="921" w:type="pct"/>
                  <w:gridSpan w:val="2"/>
                  <w:tcBorders>
                    <w:tl2br w:val="nil"/>
                    <w:tr2bl w:val="nil"/>
                  </w:tcBorders>
                  <w:vAlign w:val="center"/>
                </w:tcPr>
                <w:p>
                  <w:pPr>
                    <w:pStyle w:val="44"/>
                    <w:spacing w:line="260" w:lineRule="exact"/>
                    <w:jc w:val="center"/>
                    <w:rPr>
                      <w:color w:val="000000" w:themeColor="text1"/>
                      <w:szCs w:val="21"/>
                      <w14:textFill>
                        <w14:solidFill>
                          <w14:schemeClr w14:val="tx1"/>
                        </w14:solidFill>
                      </w14:textFill>
                    </w:rPr>
                  </w:pPr>
                  <w:r>
                    <w:rPr>
                      <w:rFonts w:hint="eastAsia"/>
                      <w:color w:val="000000" w:themeColor="text1"/>
                      <w:spacing w:val="-4"/>
                      <w:szCs w:val="21"/>
                      <w14:textFill>
                        <w14:solidFill>
                          <w14:schemeClr w14:val="tx1"/>
                        </w14:solidFill>
                      </w14:textFill>
                    </w:rPr>
                    <w:t>生产厂房</w:t>
                  </w:r>
                </w:p>
              </w:tc>
              <w:tc>
                <w:tcPr>
                  <w:tcW w:w="3073" w:type="pct"/>
                  <w:tcBorders>
                    <w:tl2br w:val="nil"/>
                    <w:tr2bl w:val="nil"/>
                  </w:tcBorders>
                  <w:vAlign w:val="center"/>
                </w:tcPr>
                <w:p>
                  <w:pPr>
                    <w:pStyle w:val="44"/>
                    <w:spacing w:line="260" w:lineRule="exact"/>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轻钢结构</w:t>
                  </w:r>
                  <w:r>
                    <w:rPr>
                      <w:rFonts w:hint="eastAsia"/>
                      <w:color w:val="000000" w:themeColor="text1"/>
                      <w14:textFill>
                        <w14:solidFill>
                          <w14:schemeClr w14:val="tx1"/>
                        </w14:solidFill>
                      </w14:textFill>
                    </w:rPr>
                    <w:t>全封闭厂房，分为生产车间、破碎区；总</w:t>
                  </w:r>
                  <w:r>
                    <w:rPr>
                      <w:rFonts w:hint="eastAsia"/>
                      <w:color w:val="000000" w:themeColor="text1"/>
                      <w:szCs w:val="21"/>
                      <w14:textFill>
                        <w14:solidFill>
                          <w14:schemeClr w14:val="tx1"/>
                        </w14:solidFill>
                      </w14:textFill>
                    </w:rPr>
                    <w:t>建筑面积5740m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；其中生产区</w:t>
                  </w:r>
                  <w:r>
                    <w:rPr>
                      <w:rFonts w:hint="eastAsia"/>
                      <w:color w:val="000000" w:themeColor="text1"/>
                      <w14:textFill>
                        <w14:solidFill>
                          <w14:schemeClr w14:val="tx1"/>
                        </w14:solidFill>
                      </w14:textFill>
                    </w:rPr>
                    <w:t>设置1台破碎机</w:t>
                  </w:r>
                  <w:r>
                    <w:rPr>
                      <w:rFonts w:hint="eastAsia" w:hAnsi="宋体"/>
                      <w:color w:val="000000" w:themeColor="text1"/>
                      <w14:textFill>
                        <w14:solidFill>
                          <w14:schemeClr w14:val="tx1"/>
                        </w14:solidFill>
                      </w14:textFill>
                    </w:rPr>
                    <w:t>，1台双轴搅拌机、1台煤球机配套全封闭皮带输送机</w:t>
                  </w:r>
                </w:p>
              </w:tc>
              <w:tc>
                <w:tcPr>
                  <w:tcW w:w="625" w:type="pct"/>
                  <w:tcBorders>
                    <w:tl2br w:val="nil"/>
                    <w:tr2bl w:val="nil"/>
                  </w:tcBorders>
                  <w:vAlign w:val="center"/>
                </w:tcPr>
                <w:p>
                  <w:pPr>
                    <w:pStyle w:val="44"/>
                    <w:spacing w:line="26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79" w:type="pct"/>
                  <w:vMerge w:val="restart"/>
                  <w:tcBorders>
                    <w:tl2br w:val="nil"/>
                    <w:tr2bl w:val="nil"/>
                  </w:tcBorders>
                  <w:vAlign w:val="center"/>
                </w:tcPr>
                <w:p>
                  <w:pPr>
                    <w:pStyle w:val="44"/>
                    <w:jc w:val="center"/>
                    <w:rPr>
                      <w:color w:val="000000" w:themeColor="text1"/>
                      <w14:textFill>
                        <w14:solidFill>
                          <w14:schemeClr w14:val="tx1"/>
                        </w14:solidFill>
                      </w14:textFill>
                    </w:rPr>
                  </w:pPr>
                  <w:r>
                    <w:rPr>
                      <w:color w:val="000000" w:themeColor="text1"/>
                      <w14:textFill>
                        <w14:solidFill>
                          <w14:schemeClr w14:val="tx1"/>
                        </w14:solidFill>
                      </w14:textFill>
                    </w:rPr>
                    <w:t>储运工程</w:t>
                  </w:r>
                </w:p>
              </w:tc>
              <w:tc>
                <w:tcPr>
                  <w:tcW w:w="921" w:type="pct"/>
                  <w:gridSpan w:val="2"/>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成品区</w:t>
                  </w:r>
                </w:p>
              </w:tc>
              <w:tc>
                <w:tcPr>
                  <w:tcW w:w="3073"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分区设置在综合厂房内，占地面积约为1000m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，用于成品储存</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79"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921" w:type="pct"/>
                  <w:gridSpan w:val="2"/>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原料区</w:t>
                  </w:r>
                </w:p>
              </w:tc>
              <w:tc>
                <w:tcPr>
                  <w:tcW w:w="3073" w:type="pct"/>
                  <w:tcBorders>
                    <w:tl2br w:val="nil"/>
                    <w:tr2bl w:val="nil"/>
                  </w:tcBorders>
                  <w:vAlign w:val="center"/>
                </w:tcPr>
                <w:p>
                  <w:pPr>
                    <w:pStyle w:val="44"/>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分区设置在综合厂房内，占地面积约为1000m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，用于原料储存，原料分区存放</w:t>
                  </w:r>
                </w:p>
              </w:tc>
              <w:tc>
                <w:tcPr>
                  <w:tcW w:w="625" w:type="pct"/>
                  <w:tcBorders>
                    <w:tl2br w:val="nil"/>
                    <w:tr2bl w:val="nil"/>
                  </w:tcBorders>
                  <w:vAlign w:val="center"/>
                </w:tcPr>
                <w:p>
                  <w:pPr>
                    <w:pStyle w:val="44"/>
                    <w:spacing w:line="26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79" w:type="pct"/>
                  <w:vMerge w:val="restar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辅助工程</w:t>
                  </w:r>
                </w:p>
              </w:tc>
              <w:tc>
                <w:tcPr>
                  <w:tcW w:w="921" w:type="pct"/>
                  <w:gridSpan w:val="2"/>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办公生活区</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层砖混结构，</w:t>
                  </w:r>
                  <w:r>
                    <w:rPr>
                      <w:rFonts w:hint="eastAsia"/>
                      <w:color w:val="000000" w:themeColor="text1"/>
                      <w14:textFill>
                        <w14:solidFill>
                          <w14:schemeClr w14:val="tx1"/>
                        </w14:solidFill>
                      </w14:textFill>
                    </w:rPr>
                    <w:t>建筑</w:t>
                  </w:r>
                  <w:r>
                    <w:rPr>
                      <w:color w:val="000000" w:themeColor="text1"/>
                      <w14:textFill>
                        <w14:solidFill>
                          <w14:schemeClr w14:val="tx1"/>
                        </w14:solidFill>
                      </w14:textFill>
                    </w:rPr>
                    <w:t>面积</w:t>
                  </w:r>
                  <w:r>
                    <w:rPr>
                      <w:rFonts w:hint="eastAsia"/>
                      <w:color w:val="000000" w:themeColor="text1"/>
                      <w14:textFill>
                        <w14:solidFill>
                          <w14:schemeClr w14:val="tx1"/>
                        </w14:solidFill>
                      </w14:textFill>
                    </w:rPr>
                    <w:t>200</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，主要用于职工的办公生活</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79"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921" w:type="pct"/>
                  <w:gridSpan w:val="2"/>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磅房</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层砖混结构，</w:t>
                  </w:r>
                  <w:r>
                    <w:rPr>
                      <w:rFonts w:hint="eastAsia"/>
                      <w:color w:val="000000" w:themeColor="text1"/>
                      <w14:textFill>
                        <w14:solidFill>
                          <w14:schemeClr w14:val="tx1"/>
                        </w14:solidFill>
                      </w14:textFill>
                    </w:rPr>
                    <w:t>建筑</w:t>
                  </w:r>
                  <w:r>
                    <w:rPr>
                      <w:color w:val="000000" w:themeColor="text1"/>
                      <w14:textFill>
                        <w14:solidFill>
                          <w14:schemeClr w14:val="tx1"/>
                        </w14:solidFill>
                      </w14:textFill>
                    </w:rPr>
                    <w:t>面积</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p>
              </w:tc>
              <w:tc>
                <w:tcPr>
                  <w:tcW w:w="625" w:type="pct"/>
                  <w:tcBorders>
                    <w:tl2br w:val="nil"/>
                    <w:tr2bl w:val="nil"/>
                  </w:tcBorders>
                  <w:vAlign w:val="center"/>
                </w:tcPr>
                <w:p>
                  <w:pPr>
                    <w:pStyle w:val="44"/>
                    <w:spacing w:line="260" w:lineRule="exact"/>
                    <w:jc w:val="center"/>
                    <w:rPr>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379" w:type="pct"/>
                  <w:vMerge w:val="restar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公用</w:t>
                  </w:r>
                </w:p>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工程</w:t>
                  </w:r>
                </w:p>
              </w:tc>
              <w:tc>
                <w:tcPr>
                  <w:tcW w:w="921" w:type="pct"/>
                  <w:gridSpan w:val="2"/>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给水</w:t>
                  </w:r>
                </w:p>
              </w:tc>
              <w:tc>
                <w:tcPr>
                  <w:tcW w:w="3073" w:type="pct"/>
                  <w:tcBorders>
                    <w:tl2br w:val="nil"/>
                    <w:tr2bl w:val="nil"/>
                  </w:tcBorders>
                  <w:vAlign w:val="center"/>
                </w:tcPr>
                <w:p>
                  <w:pPr>
                    <w:pStyle w:val="44"/>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厂区自备水井</w:t>
                  </w:r>
                </w:p>
              </w:tc>
              <w:tc>
                <w:tcPr>
                  <w:tcW w:w="625" w:type="pct"/>
                  <w:tcBorders>
                    <w:tl2br w:val="nil"/>
                    <w:tr2bl w:val="nil"/>
                  </w:tcBorders>
                  <w:vAlign w:val="center"/>
                </w:tcPr>
                <w:p>
                  <w:pPr>
                    <w:pStyle w:val="44"/>
                    <w:spacing w:line="260" w:lineRule="exact"/>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921" w:type="pct"/>
                  <w:gridSpan w:val="2"/>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供电</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前石湖村变电站提供，厂区内自设一台250KVA的变压器</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921" w:type="pct"/>
                  <w:gridSpan w:val="2"/>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供暖</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冬季办公区采暖使用电暖气采暖</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79" w:type="pct"/>
                  <w:vMerge w:val="restar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环保工程</w:t>
                  </w:r>
                </w:p>
              </w:tc>
              <w:tc>
                <w:tcPr>
                  <w:tcW w:w="277" w:type="pct"/>
                  <w:vMerge w:val="restart"/>
                  <w:tcBorders>
                    <w:tl2br w:val="nil"/>
                    <w:tr2bl w:val="nil"/>
                  </w:tcBorders>
                  <w:vAlign w:val="center"/>
                </w:tcPr>
                <w:p>
                  <w:pPr>
                    <w:pStyle w:val="44"/>
                    <w:jc w:val="center"/>
                    <w:rPr>
                      <w:color w:val="000000" w:themeColor="text1"/>
                      <w14:textFill>
                        <w14:solidFill>
                          <w14:schemeClr w14:val="tx1"/>
                        </w14:solidFill>
                      </w14:textFill>
                    </w:rPr>
                  </w:pPr>
                  <w:r>
                    <w:rPr>
                      <w:color w:val="000000" w:themeColor="text1"/>
                      <w14:textFill>
                        <w14:solidFill>
                          <w14:schemeClr w14:val="tx1"/>
                        </w14:solidFill>
                      </w14:textFill>
                    </w:rPr>
                    <w:t>大气</w:t>
                  </w:r>
                </w:p>
              </w:tc>
              <w:tc>
                <w:tcPr>
                  <w:tcW w:w="64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原料堆场</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地面硬化，设置在全封闭的生产厂房内</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79"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277"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64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成品堆场</w:t>
                  </w:r>
                </w:p>
              </w:tc>
              <w:tc>
                <w:tcPr>
                  <w:tcW w:w="3073" w:type="pct"/>
                  <w:tcBorders>
                    <w:tl2br w:val="nil"/>
                    <w:tr2bl w:val="nil"/>
                  </w:tcBorders>
                  <w:vAlign w:val="center"/>
                </w:tcPr>
                <w:p>
                  <w:pPr>
                    <w:pStyle w:val="44"/>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地面硬化，设置在全封闭的生产厂房内</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277" w:type="pct"/>
                  <w:vMerge w:val="continue"/>
                  <w:tcBorders>
                    <w:tl2br w:val="nil"/>
                    <w:tr2bl w:val="nil"/>
                  </w:tcBorders>
                  <w:vAlign w:val="center"/>
                </w:tcPr>
                <w:p>
                  <w:pPr>
                    <w:jc w:val="center"/>
                    <w:rPr>
                      <w:rFonts w:hAnsi="宋体"/>
                      <w:color w:val="000000" w:themeColor="text1"/>
                      <w:szCs w:val="21"/>
                      <w14:textFill>
                        <w14:solidFill>
                          <w14:schemeClr w14:val="tx1"/>
                        </w14:solidFill>
                      </w14:textFill>
                    </w:rPr>
                  </w:pPr>
                </w:p>
              </w:tc>
              <w:tc>
                <w:tcPr>
                  <w:tcW w:w="643" w:type="pct"/>
                  <w:tcBorders>
                    <w:tl2br w:val="nil"/>
                    <w:tr2bl w:val="nil"/>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转运系统</w:t>
                  </w:r>
                </w:p>
              </w:tc>
              <w:tc>
                <w:tcPr>
                  <w:tcW w:w="3073" w:type="pct"/>
                  <w:tcBorders>
                    <w:tl2br w:val="nil"/>
                    <w:tr2bl w:val="nil"/>
                  </w:tcBorders>
                  <w:vAlign w:val="center"/>
                </w:tcPr>
                <w:p>
                  <w:pPr>
                    <w:ind w:firstLine="42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全封闭皮带</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277"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64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破碎工序</w:t>
                  </w:r>
                </w:p>
              </w:tc>
              <w:tc>
                <w:tcPr>
                  <w:tcW w:w="3073" w:type="pct"/>
                  <w:tcBorders>
                    <w:tl2br w:val="nil"/>
                    <w:tr2bl w:val="nil"/>
                  </w:tcBorders>
                  <w:vAlign w:val="center"/>
                </w:tcPr>
                <w:p>
                  <w:pPr>
                    <w:pStyle w:val="44"/>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在破碎机进料口和出料口均设伞式集气罩（共1台破碎机，2个集气罩），粉尘集中收集后送入1台高效布袋除尘器，</w:t>
                  </w:r>
                  <w:r>
                    <w:rPr>
                      <w:bCs/>
                      <w:color w:val="000000" w:themeColor="text1"/>
                      <w:szCs w:val="21"/>
                      <w14:textFill>
                        <w14:solidFill>
                          <w14:schemeClr w14:val="tx1"/>
                        </w14:solidFill>
                      </w14:textFill>
                    </w:rPr>
                    <w:t>经袋式除尘器处理后，废气通过</w:t>
                  </w:r>
                  <w:r>
                    <w:rPr>
                      <w:rFonts w:hint="eastAsia"/>
                      <w:bCs/>
                      <w:color w:val="000000" w:themeColor="text1"/>
                      <w:szCs w:val="21"/>
                      <w14:textFill>
                        <w14:solidFill>
                          <w14:schemeClr w14:val="tx1"/>
                        </w14:solidFill>
                      </w14:textFill>
                    </w:rPr>
                    <w:t>15</w:t>
                  </w:r>
                  <w:r>
                    <w:rPr>
                      <w:bCs/>
                      <w:color w:val="000000" w:themeColor="text1"/>
                      <w:szCs w:val="21"/>
                      <w14:textFill>
                        <w14:solidFill>
                          <w14:schemeClr w14:val="tx1"/>
                        </w14:solidFill>
                      </w14:textFill>
                    </w:rPr>
                    <w:t>m高的排气筒外排</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277" w:type="pct"/>
                  <w:vMerge w:val="restart"/>
                  <w:tcBorders>
                    <w:tl2br w:val="nil"/>
                    <w:tr2bl w:val="nil"/>
                  </w:tcBorders>
                  <w:vAlign w:val="center"/>
                </w:tcPr>
                <w:p>
                  <w:pPr>
                    <w:pStyle w:val="44"/>
                    <w:jc w:val="center"/>
                    <w:rPr>
                      <w:color w:val="000000" w:themeColor="text1"/>
                      <w14:textFill>
                        <w14:solidFill>
                          <w14:schemeClr w14:val="tx1"/>
                        </w14:solidFill>
                      </w14:textFill>
                    </w:rPr>
                  </w:pPr>
                  <w:r>
                    <w:rPr>
                      <w:color w:val="000000" w:themeColor="text1"/>
                      <w14:textFill>
                        <w14:solidFill>
                          <w14:schemeClr w14:val="tx1"/>
                        </w14:solidFill>
                      </w14:textFill>
                    </w:rPr>
                    <w:t>废水</w:t>
                  </w:r>
                </w:p>
              </w:tc>
              <w:tc>
                <w:tcPr>
                  <w:tcW w:w="64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生活污水</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生活污水产生量小、水质简单，用于厂区洒水抑尘</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277"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643" w:type="pct"/>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洗车废水</w:t>
                  </w:r>
                </w:p>
              </w:tc>
              <w:tc>
                <w:tcPr>
                  <w:tcW w:w="3073" w:type="pct"/>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bCs/>
                      <w:color w:val="000000" w:themeColor="text1"/>
                      <w14:textFill>
                        <w14:solidFill>
                          <w14:schemeClr w14:val="tx1"/>
                        </w14:solidFill>
                      </w14:textFill>
                    </w:rPr>
                    <w:t>厂区</w:t>
                  </w:r>
                  <w:r>
                    <w:rPr>
                      <w:rFonts w:hint="eastAsia"/>
                      <w:bCs/>
                      <w:color w:val="000000" w:themeColor="text1"/>
                      <w:highlight w:val="none"/>
                      <w14:textFill>
                        <w14:solidFill>
                          <w14:schemeClr w14:val="tx1"/>
                        </w14:solidFill>
                      </w14:textFill>
                    </w:rPr>
                    <w:t>设1座车辆</w:t>
                  </w:r>
                  <w:r>
                    <w:rPr>
                      <w:rFonts w:hint="eastAsia"/>
                      <w:bCs/>
                      <w:color w:val="000000" w:themeColor="text1"/>
                      <w14:textFill>
                        <w14:solidFill>
                          <w14:schemeClr w14:val="tx1"/>
                        </w14:solidFill>
                      </w14:textFill>
                    </w:rPr>
                    <w:t>清洗平台，沉淀池为二级沉淀，容积为5m</w:t>
                  </w:r>
                  <w:r>
                    <w:rPr>
                      <w:rFonts w:hint="eastAsia"/>
                      <w:bCs/>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；厂区设运输车辆清洗平台，</w:t>
                  </w:r>
                  <w:r>
                    <w:rPr>
                      <w:bCs/>
                      <w:color w:val="000000" w:themeColor="text1"/>
                      <w14:textFill>
                        <w14:solidFill>
                          <w14:schemeClr w14:val="tx1"/>
                        </w14:solidFill>
                      </w14:textFill>
                    </w:rPr>
                    <w:t>经过</w:t>
                  </w:r>
                  <w:r>
                    <w:rPr>
                      <w:color w:val="000000" w:themeColor="text1"/>
                      <w14:textFill>
                        <w14:solidFill>
                          <w14:schemeClr w14:val="tx1"/>
                        </w14:solidFill>
                      </w14:textFill>
                    </w:rPr>
                    <w:t>沉淀</w:t>
                  </w:r>
                  <w:r>
                    <w:rPr>
                      <w:bCs/>
                      <w:color w:val="000000" w:themeColor="text1"/>
                      <w14:textFill>
                        <w14:solidFill>
                          <w14:schemeClr w14:val="tx1"/>
                        </w14:solidFill>
                      </w14:textFill>
                    </w:rPr>
                    <w:t>处理</w:t>
                  </w:r>
                  <w:r>
                    <w:rPr>
                      <w:color w:val="000000" w:themeColor="text1"/>
                      <w14:textFill>
                        <w14:solidFill>
                          <w14:schemeClr w14:val="tx1"/>
                        </w14:solidFill>
                      </w14:textFill>
                    </w:rPr>
                    <w:t>后用于道路洒水抑尘</w:t>
                  </w:r>
                </w:p>
              </w:tc>
              <w:tc>
                <w:tcPr>
                  <w:tcW w:w="625" w:type="pct"/>
                  <w:tcBorders>
                    <w:tl2br w:val="nil"/>
                    <w:tr2bl w:val="nil"/>
                  </w:tcBorders>
                  <w:vAlign w:val="center"/>
                </w:tcPr>
                <w:p>
                  <w:pPr>
                    <w:pStyle w:val="44"/>
                    <w:spacing w:line="260" w:lineRule="exact"/>
                    <w:jc w:val="center"/>
                    <w:rPr>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277"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643" w:type="pct"/>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初期雨水</w:t>
                  </w:r>
                </w:p>
              </w:tc>
              <w:tc>
                <w:tcPr>
                  <w:tcW w:w="3073"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color w:val="000000" w:themeColor="text1"/>
                      <w:szCs w:val="21"/>
                      <w14:textFill>
                        <w14:solidFill>
                          <w14:schemeClr w14:val="tx1"/>
                        </w14:solidFill>
                      </w14:textFill>
                    </w:rPr>
                    <w:t>设一座100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初期雨水收集池</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经雨水收集池沉淀后用于厂区降尘洒水</w:t>
                  </w:r>
                </w:p>
              </w:tc>
              <w:tc>
                <w:tcPr>
                  <w:tcW w:w="625" w:type="pct"/>
                  <w:tcBorders>
                    <w:tl2br w:val="nil"/>
                    <w:tr2bl w:val="nil"/>
                  </w:tcBorders>
                  <w:vAlign w:val="center"/>
                </w:tcPr>
                <w:p>
                  <w:pPr>
                    <w:pStyle w:val="44"/>
                    <w:spacing w:line="26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277"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噪声</w:t>
                  </w:r>
                </w:p>
              </w:tc>
              <w:tc>
                <w:tcPr>
                  <w:tcW w:w="64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设备噪声</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优选用低噪声设备、隔声、消声、基础减震等措施</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277" w:type="pct"/>
                  <w:vMerge w:val="restart"/>
                  <w:tcBorders>
                    <w:tl2br w:val="nil"/>
                    <w:tr2bl w:val="nil"/>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固</w:t>
                  </w:r>
                </w:p>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废</w:t>
                  </w:r>
                </w:p>
              </w:tc>
              <w:tc>
                <w:tcPr>
                  <w:tcW w:w="64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除尘灰</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可作为原料回用于生产</w:t>
                  </w:r>
                </w:p>
              </w:tc>
              <w:tc>
                <w:tcPr>
                  <w:tcW w:w="625" w:type="pct"/>
                  <w:tcBorders>
                    <w:tl2br w:val="nil"/>
                    <w:tr2bl w:val="nil"/>
                  </w:tcBorders>
                  <w:vAlign w:val="center"/>
                </w:tcPr>
                <w:p>
                  <w:pPr>
                    <w:pStyle w:val="44"/>
                    <w:spacing w:line="260" w:lineRule="exact"/>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277"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64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职工生活垃圾</w:t>
                  </w:r>
                </w:p>
              </w:tc>
              <w:tc>
                <w:tcPr>
                  <w:tcW w:w="3073" w:type="pct"/>
                  <w:tcBorders>
                    <w:tl2br w:val="nil"/>
                    <w:tr2bl w:val="nil"/>
                  </w:tcBorders>
                  <w:vAlign w:val="center"/>
                </w:tcPr>
                <w:p>
                  <w:pPr>
                    <w:pStyle w:val="44"/>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厂区内设置垃圾桶，定期</w:t>
                  </w:r>
                  <w:r>
                    <w:rPr>
                      <w:rFonts w:hint="eastAsia"/>
                      <w:color w:val="000000" w:themeColor="text1"/>
                      <w:spacing w:val="6"/>
                      <w:szCs w:val="21"/>
                      <w14:textFill>
                        <w14:solidFill>
                          <w14:schemeClr w14:val="tx1"/>
                        </w14:solidFill>
                      </w14:textFill>
                    </w:rPr>
                    <w:t>送当地垃圾填埋场进行填埋处置</w:t>
                  </w:r>
                </w:p>
              </w:tc>
              <w:tc>
                <w:tcPr>
                  <w:tcW w:w="625" w:type="pct"/>
                  <w:tcBorders>
                    <w:tl2br w:val="nil"/>
                    <w:tr2bl w:val="nil"/>
                  </w:tcBorders>
                  <w:vAlign w:val="center"/>
                </w:tcPr>
                <w:p>
                  <w:pPr>
                    <w:pStyle w:val="44"/>
                    <w:spacing w:line="260" w:lineRule="exact"/>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79" w:type="pct"/>
                  <w:vMerge w:val="continue"/>
                  <w:tcBorders>
                    <w:tl2br w:val="nil"/>
                    <w:tr2bl w:val="nil"/>
                  </w:tcBorders>
                  <w:vAlign w:val="center"/>
                </w:tcPr>
                <w:p>
                  <w:pPr>
                    <w:pStyle w:val="44"/>
                    <w:jc w:val="center"/>
                    <w:rPr>
                      <w:bCs/>
                      <w:color w:val="000000" w:themeColor="text1"/>
                      <w:szCs w:val="21"/>
                      <w14:textFill>
                        <w14:solidFill>
                          <w14:schemeClr w14:val="tx1"/>
                        </w14:solidFill>
                      </w14:textFill>
                    </w:rPr>
                  </w:pPr>
                </w:p>
              </w:tc>
              <w:tc>
                <w:tcPr>
                  <w:tcW w:w="921" w:type="pct"/>
                  <w:gridSpan w:val="2"/>
                  <w:tcBorders>
                    <w:tl2br w:val="nil"/>
                    <w:tr2bl w:val="nil"/>
                  </w:tcBorders>
                  <w:vAlign w:val="center"/>
                </w:tcPr>
                <w:p>
                  <w:pPr>
                    <w:pStyle w:val="44"/>
                    <w:jc w:val="center"/>
                    <w:rPr>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生态工程</w:t>
                  </w:r>
                </w:p>
              </w:tc>
              <w:tc>
                <w:tcPr>
                  <w:tcW w:w="3073"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对厂区进行绿化，绿化面积为1000m</w:t>
                  </w:r>
                  <w:r>
                    <w:rPr>
                      <w:rFonts w:hint="eastAsia"/>
                      <w:color w:val="000000" w:themeColor="text1"/>
                      <w:vertAlign w:val="superscript"/>
                      <w14:textFill>
                        <w14:solidFill>
                          <w14:schemeClr w14:val="tx1"/>
                        </w14:solidFill>
                      </w14:textFill>
                    </w:rPr>
                    <w:t>2</w:t>
                  </w:r>
                </w:p>
              </w:tc>
              <w:tc>
                <w:tcPr>
                  <w:tcW w:w="625" w:type="pct"/>
                  <w:tcBorders>
                    <w:tl2br w:val="nil"/>
                    <w:tr2bl w:val="nil"/>
                  </w:tcBorders>
                  <w:vAlign w:val="center"/>
                </w:tcPr>
                <w:p>
                  <w:pPr>
                    <w:pStyle w:val="44"/>
                    <w:jc w:val="center"/>
                    <w:rPr>
                      <w:color w:val="000000" w:themeColor="text1"/>
                      <w14:textFill>
                        <w14:solidFill>
                          <w14:schemeClr w14:val="tx1"/>
                        </w14:solidFill>
                      </w14:textFill>
                    </w:rPr>
                  </w:pPr>
                </w:p>
              </w:tc>
            </w:tr>
          </w:tbl>
          <w:p>
            <w:pPr>
              <w:spacing w:line="50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2.3工程</w:t>
            </w:r>
            <w:r>
              <w:rPr>
                <w:rFonts w:eastAsia="黑体"/>
                <w:color w:val="000000" w:themeColor="text1"/>
                <w:sz w:val="24"/>
                <w14:textFill>
                  <w14:solidFill>
                    <w14:schemeClr w14:val="tx1"/>
                  </w14:solidFill>
                </w14:textFill>
              </w:rPr>
              <w:t>主要原材料用量</w:t>
            </w:r>
          </w:p>
          <w:p>
            <w:pPr>
              <w:spacing w:line="5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生产原料主要为兰炭末和精煤。</w:t>
            </w:r>
            <w:r>
              <w:rPr>
                <w:color w:val="000000" w:themeColor="text1"/>
                <w:sz w:val="24"/>
                <w14:textFill>
                  <w14:solidFill>
                    <w14:schemeClr w14:val="tx1"/>
                  </w14:solidFill>
                </w14:textFill>
              </w:rPr>
              <w:t>主要原、辅材料消耗量详见表</w:t>
            </w:r>
            <w:r>
              <w:rPr>
                <w:rFonts w:hint="eastAsia"/>
                <w:color w:val="000000" w:themeColor="text1"/>
                <w:sz w:val="24"/>
                <w14:textFill>
                  <w14:solidFill>
                    <w14:schemeClr w14:val="tx1"/>
                  </w14:solidFill>
                </w14:textFill>
              </w:rPr>
              <w:t>1-2</w:t>
            </w:r>
            <w:r>
              <w:rPr>
                <w:color w:val="000000" w:themeColor="text1"/>
                <w:sz w:val="24"/>
                <w14:textFill>
                  <w14:solidFill>
                    <w14:schemeClr w14:val="tx1"/>
                  </w14:solidFill>
                </w14:textFill>
              </w:rPr>
              <w:t>。</w:t>
            </w:r>
          </w:p>
          <w:p>
            <w:pPr>
              <w:snapToGrid w:val="0"/>
              <w:spacing w:line="48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 xml:space="preserve">1-2 </w:t>
            </w:r>
            <w:r>
              <w:rPr>
                <w:b/>
                <w:color w:val="000000" w:themeColor="text1"/>
                <w:sz w:val="24"/>
                <w14:textFill>
                  <w14:solidFill>
                    <w14:schemeClr w14:val="tx1"/>
                  </w14:solidFill>
                </w14:textFill>
              </w:rPr>
              <w:t xml:space="preserve"> 主要原、辅材料用量表</w:t>
            </w:r>
          </w:p>
          <w:tbl>
            <w:tblPr>
              <w:tblStyle w:val="32"/>
              <w:tblW w:w="4998"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25"/>
              <w:gridCol w:w="1023"/>
              <w:gridCol w:w="2230"/>
              <w:gridCol w:w="2377"/>
              <w:gridCol w:w="2113"/>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730"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564"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产品</w:t>
                  </w:r>
                </w:p>
              </w:tc>
              <w:tc>
                <w:tcPr>
                  <w:tcW w:w="1229"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材料名称</w:t>
                  </w:r>
                </w:p>
              </w:tc>
              <w:tc>
                <w:tcPr>
                  <w:tcW w:w="1310"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年消耗量</w:t>
                  </w:r>
                </w:p>
              </w:tc>
              <w:tc>
                <w:tcPr>
                  <w:tcW w:w="1164"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来源</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730"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64" w:type="pct"/>
                  <w:vMerge w:val="restar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型煤</w:t>
                  </w:r>
                </w:p>
              </w:tc>
              <w:tc>
                <w:tcPr>
                  <w:tcW w:w="1229"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精煤</w:t>
                  </w:r>
                </w:p>
              </w:tc>
              <w:tc>
                <w:tcPr>
                  <w:tcW w:w="1310" w:type="pct"/>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25万 t/a</w:t>
                  </w:r>
                </w:p>
              </w:tc>
              <w:tc>
                <w:tcPr>
                  <w:tcW w:w="1164"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730"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564" w:type="pct"/>
                  <w:vMerge w:val="continue"/>
                  <w:tcBorders>
                    <w:tl2br w:val="nil"/>
                    <w:tr2bl w:val="nil"/>
                  </w:tcBorders>
                  <w:vAlign w:val="center"/>
                </w:tcPr>
                <w:p>
                  <w:pPr>
                    <w:spacing w:line="280" w:lineRule="exact"/>
                    <w:jc w:val="center"/>
                    <w:rPr>
                      <w:color w:val="000000" w:themeColor="text1"/>
                      <w:szCs w:val="21"/>
                      <w14:textFill>
                        <w14:solidFill>
                          <w14:schemeClr w14:val="tx1"/>
                        </w14:solidFill>
                      </w14:textFill>
                    </w:rPr>
                  </w:pPr>
                </w:p>
              </w:tc>
              <w:tc>
                <w:tcPr>
                  <w:tcW w:w="1229"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兰炭末</w:t>
                  </w:r>
                </w:p>
              </w:tc>
              <w:tc>
                <w:tcPr>
                  <w:tcW w:w="1310" w:type="pct"/>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22万 t/a</w:t>
                  </w:r>
                </w:p>
              </w:tc>
              <w:tc>
                <w:tcPr>
                  <w:tcW w:w="1164"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730"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564" w:type="pct"/>
                  <w:vMerge w:val="continue"/>
                  <w:tcBorders>
                    <w:tl2br w:val="nil"/>
                    <w:tr2bl w:val="nil"/>
                  </w:tcBorders>
                  <w:vAlign w:val="center"/>
                </w:tcPr>
                <w:p>
                  <w:pPr>
                    <w:spacing w:line="280" w:lineRule="exact"/>
                    <w:jc w:val="center"/>
                    <w:rPr>
                      <w:color w:val="000000" w:themeColor="text1"/>
                      <w:szCs w:val="21"/>
                      <w14:textFill>
                        <w14:solidFill>
                          <w14:schemeClr w14:val="tx1"/>
                        </w14:solidFill>
                      </w14:textFill>
                    </w:rPr>
                  </w:pPr>
                </w:p>
              </w:tc>
              <w:tc>
                <w:tcPr>
                  <w:tcW w:w="1229"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粘结剂</w:t>
                  </w:r>
                </w:p>
              </w:tc>
              <w:tc>
                <w:tcPr>
                  <w:tcW w:w="1310" w:type="pct"/>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2万t/a</w:t>
                  </w:r>
                </w:p>
              </w:tc>
              <w:tc>
                <w:tcPr>
                  <w:tcW w:w="1164"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730"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564" w:type="pct"/>
                  <w:vMerge w:val="continue"/>
                  <w:tcBorders>
                    <w:tl2br w:val="nil"/>
                    <w:tr2bl w:val="nil"/>
                  </w:tcBorders>
                  <w:vAlign w:val="center"/>
                </w:tcPr>
                <w:p>
                  <w:pPr>
                    <w:spacing w:line="280" w:lineRule="exact"/>
                    <w:jc w:val="center"/>
                    <w:rPr>
                      <w:color w:val="000000" w:themeColor="text1"/>
                      <w:szCs w:val="21"/>
                      <w14:textFill>
                        <w14:solidFill>
                          <w14:schemeClr w14:val="tx1"/>
                        </w14:solidFill>
                      </w14:textFill>
                    </w:rPr>
                  </w:pPr>
                </w:p>
              </w:tc>
              <w:tc>
                <w:tcPr>
                  <w:tcW w:w="1229"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固硫剂</w:t>
                  </w:r>
                </w:p>
              </w:tc>
              <w:tc>
                <w:tcPr>
                  <w:tcW w:w="131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3万t/a</w:t>
                  </w:r>
                </w:p>
              </w:tc>
              <w:tc>
                <w:tcPr>
                  <w:tcW w:w="1164" w:type="pct"/>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r>
          </w:tbl>
          <w:p>
            <w:pPr>
              <w:spacing w:line="5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根据企业提供的煤质数据，项目原料成分见表1-3。</w:t>
            </w:r>
          </w:p>
          <w:p>
            <w:pPr>
              <w:snapToGrid w:val="0"/>
              <w:spacing w:line="48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表1-3项目型煤生产主要原料成分一览表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296"/>
              <w:gridCol w:w="1296"/>
              <w:gridCol w:w="1297"/>
              <w:gridCol w:w="1297"/>
              <w:gridCol w:w="12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Merge w:val="restart"/>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原料名称</w:t>
                  </w:r>
                </w:p>
              </w:tc>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含水率</w:t>
                  </w:r>
                </w:p>
              </w:tc>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灰分</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挥发分</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全硫</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固定碳</w:t>
                  </w:r>
                </w:p>
              </w:tc>
              <w:tc>
                <w:tcPr>
                  <w:tcW w:w="1298"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低位发热量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Merge w:val="continue"/>
                  <w:vAlign w:val="center"/>
                </w:tcPr>
                <w:p>
                  <w:pPr>
                    <w:spacing w:line="280" w:lineRule="exact"/>
                    <w:jc w:val="center"/>
                    <w:rPr>
                      <w:color w:val="000000" w:themeColor="text1"/>
                      <w:szCs w:val="21"/>
                      <w14:textFill>
                        <w14:solidFill>
                          <w14:schemeClr w14:val="tx1"/>
                        </w14:solidFill>
                      </w14:textFill>
                    </w:rPr>
                  </w:pPr>
                </w:p>
              </w:tc>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98"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兰炭末</w:t>
                  </w:r>
                </w:p>
              </w:tc>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&lt;5</w:t>
                  </w:r>
                </w:p>
              </w:tc>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&lt;8.1</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&lt;5</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&lt;0.31</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&lt;75</w:t>
                  </w:r>
                </w:p>
              </w:tc>
              <w:tc>
                <w:tcPr>
                  <w:tcW w:w="1298"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&lt;26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精煤</w:t>
                  </w:r>
                </w:p>
              </w:tc>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19.2</w:t>
                  </w:r>
                </w:p>
              </w:tc>
              <w:tc>
                <w:tcPr>
                  <w:tcW w:w="1296"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5.3</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16.6</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0.16</w:t>
                  </w:r>
                </w:p>
              </w:tc>
              <w:tc>
                <w:tcPr>
                  <w:tcW w:w="1297"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1298"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28.8</w:t>
                  </w:r>
                </w:p>
              </w:tc>
            </w:tr>
          </w:tbl>
          <w:p>
            <w:pPr>
              <w:pStyle w:val="31"/>
              <w:ind w:firstLine="0" w:firstLineChars="0"/>
              <w:jc w:val="center"/>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表1-4项目型煤生产主要辅料成分一览表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1815"/>
              <w:gridCol w:w="1815"/>
              <w:gridCol w:w="1816"/>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w:t>
                  </w:r>
                </w:p>
              </w:tc>
              <w:tc>
                <w:tcPr>
                  <w:tcW w:w="181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腐殖酸钠</w:t>
                  </w:r>
                </w:p>
              </w:tc>
              <w:tc>
                <w:tcPr>
                  <w:tcW w:w="181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挥发分</w:t>
                  </w:r>
                </w:p>
              </w:tc>
              <w:tc>
                <w:tcPr>
                  <w:tcW w:w="1816"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全水分</w:t>
                  </w:r>
                </w:p>
              </w:tc>
              <w:tc>
                <w:tcPr>
                  <w:tcW w:w="1816"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粒径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粘结剂</w:t>
                  </w:r>
                </w:p>
              </w:tc>
              <w:tc>
                <w:tcPr>
                  <w:tcW w:w="181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181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≥5.3%</w:t>
                  </w:r>
                </w:p>
              </w:tc>
              <w:tc>
                <w:tcPr>
                  <w:tcW w:w="1816"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816"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＜200目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固硫剂</w:t>
                  </w:r>
                </w:p>
              </w:tc>
              <w:tc>
                <w:tcPr>
                  <w:tcW w:w="3630" w:type="dxa"/>
                  <w:gridSpan w:val="2"/>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主要成分为生石灰</w:t>
                  </w:r>
                </w:p>
              </w:tc>
              <w:tc>
                <w:tcPr>
                  <w:tcW w:w="1816"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816"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＜200目</w:t>
                  </w:r>
                </w:p>
              </w:tc>
            </w:tr>
          </w:tbl>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2.4工程</w:t>
            </w:r>
            <w:r>
              <w:rPr>
                <w:rFonts w:eastAsia="黑体"/>
                <w:color w:val="000000" w:themeColor="text1"/>
                <w:sz w:val="24"/>
                <w14:textFill>
                  <w14:solidFill>
                    <w14:schemeClr w14:val="tx1"/>
                  </w14:solidFill>
                </w14:textFill>
              </w:rPr>
              <w:t>产品方案</w:t>
            </w:r>
          </w:p>
          <w:p>
            <w:pPr>
              <w:snapToGrid w:val="0"/>
              <w:spacing w:line="480" w:lineRule="exac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本项目主要产品方案见表1-5。</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1113"/>
              <w:gridCol w:w="1662"/>
              <w:gridCol w:w="1588"/>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产品名称</w:t>
                  </w:r>
                </w:p>
              </w:tc>
              <w:tc>
                <w:tcPr>
                  <w:tcW w:w="1113"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形状</w:t>
                  </w:r>
                </w:p>
              </w:tc>
              <w:tc>
                <w:tcPr>
                  <w:tcW w:w="1662"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规格（mm）</w:t>
                  </w:r>
                </w:p>
              </w:tc>
              <w:tc>
                <w:tcPr>
                  <w:tcW w:w="1588"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产量</w:t>
                  </w:r>
                </w:p>
              </w:tc>
              <w:tc>
                <w:tcPr>
                  <w:tcW w:w="327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型煤</w:t>
                  </w:r>
                </w:p>
              </w:tc>
              <w:tc>
                <w:tcPr>
                  <w:tcW w:w="1113"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椭圆形</w:t>
                  </w:r>
                </w:p>
              </w:tc>
              <w:tc>
                <w:tcPr>
                  <w:tcW w:w="1662"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Φ53、厚32</w:t>
                  </w:r>
                </w:p>
              </w:tc>
              <w:tc>
                <w:tcPr>
                  <w:tcW w:w="1588"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50万t/a</w:t>
                  </w:r>
                </w:p>
              </w:tc>
              <w:tc>
                <w:tcPr>
                  <w:tcW w:w="3275" w:type="dxa"/>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民用取暖、工业锅炉、窑炉燃料</w:t>
                  </w:r>
                </w:p>
              </w:tc>
            </w:tr>
          </w:tbl>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2.5</w:t>
            </w:r>
            <w:r>
              <w:rPr>
                <w:rFonts w:eastAsia="黑体"/>
                <w:color w:val="000000" w:themeColor="text1"/>
                <w:sz w:val="24"/>
                <w14:textFill>
                  <w14:solidFill>
                    <w14:schemeClr w14:val="tx1"/>
                  </w14:solidFill>
                </w14:textFill>
              </w:rPr>
              <w:t>主要设备情况</w:t>
            </w:r>
          </w:p>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本项目的主要设备选型见表</w:t>
            </w:r>
            <w:r>
              <w:rPr>
                <w:rFonts w:hint="eastAsia"/>
                <w:bCs/>
                <w:color w:val="000000" w:themeColor="text1"/>
                <w:sz w:val="24"/>
                <w14:textFill>
                  <w14:solidFill>
                    <w14:schemeClr w14:val="tx1"/>
                  </w14:solidFill>
                </w14:textFill>
              </w:rPr>
              <w:t>1-6</w:t>
            </w:r>
            <w:r>
              <w:rPr>
                <w:bCs/>
                <w:color w:val="000000" w:themeColor="text1"/>
                <w:sz w:val="24"/>
                <w14:textFill>
                  <w14:solidFill>
                    <w14:schemeClr w14:val="tx1"/>
                  </w14:solidFill>
                </w14:textFill>
              </w:rPr>
              <w:t>。</w:t>
            </w:r>
          </w:p>
          <w:p>
            <w:pPr>
              <w:spacing w:line="48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1-6</w:t>
            </w:r>
            <w:r>
              <w:rPr>
                <w:b/>
                <w:color w:val="000000" w:themeColor="text1"/>
                <w:sz w:val="24"/>
                <w14:textFill>
                  <w14:solidFill>
                    <w14:schemeClr w14:val="tx1"/>
                  </w14:solidFill>
                </w14:textFill>
              </w:rPr>
              <w:t xml:space="preserve"> 主要</w:t>
            </w:r>
            <w:r>
              <w:rPr>
                <w:rFonts w:hint="eastAsia"/>
                <w:b/>
                <w:color w:val="000000" w:themeColor="text1"/>
                <w:sz w:val="24"/>
                <w14:textFill>
                  <w14:solidFill>
                    <w14:schemeClr w14:val="tx1"/>
                  </w14:solidFill>
                </w14:textFill>
              </w:rPr>
              <w:t>生产</w:t>
            </w:r>
            <w:r>
              <w:rPr>
                <w:b/>
                <w:color w:val="000000" w:themeColor="text1"/>
                <w:sz w:val="24"/>
                <w14:textFill>
                  <w14:solidFill>
                    <w14:schemeClr w14:val="tx1"/>
                  </w14:solidFill>
                </w14:textFill>
              </w:rPr>
              <w:t>设备</w:t>
            </w:r>
            <w:r>
              <w:rPr>
                <w:rFonts w:hint="eastAsia"/>
                <w:b/>
                <w:color w:val="000000" w:themeColor="text1"/>
                <w:sz w:val="24"/>
                <w14:textFill>
                  <w14:solidFill>
                    <w14:schemeClr w14:val="tx1"/>
                  </w14:solidFill>
                </w14:textFill>
              </w:rPr>
              <w:t>参数</w:t>
            </w:r>
          </w:p>
          <w:tbl>
            <w:tblPr>
              <w:tblStyle w:val="32"/>
              <w:tblW w:w="4998" w:type="pct"/>
              <w:tblInd w:w="0" w:type="dxa"/>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2374"/>
              <w:gridCol w:w="3288"/>
              <w:gridCol w:w="2345"/>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序号</w:t>
                  </w:r>
                </w:p>
              </w:tc>
              <w:tc>
                <w:tcPr>
                  <w:tcW w:w="1309" w:type="pct"/>
                  <w:tcBorders>
                    <w:tl2br w:val="nil"/>
                    <w:tr2bl w:val="nil"/>
                  </w:tcBorders>
                  <w:vAlign w:val="center"/>
                </w:tcPr>
                <w:p>
                  <w:pPr>
                    <w:pStyle w:val="43"/>
                    <w:pBdr>
                      <w:left w:val="none" w:color="auto" w:sz="0" w:space="0"/>
                      <w:right w:val="none" w:color="auto" w:sz="0" w:space="0"/>
                    </w:pBdr>
                    <w:spacing w:before="0" w:beforeAutospacing="0" w:after="0" w:afterAutospacing="0"/>
                    <w:textAlignment w:val="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设备名称</w:t>
                  </w:r>
                </w:p>
              </w:tc>
              <w:tc>
                <w:tcPr>
                  <w:tcW w:w="1813"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规格型号</w:t>
                  </w:r>
                </w:p>
              </w:tc>
              <w:tc>
                <w:tcPr>
                  <w:tcW w:w="1291" w:type="pct"/>
                  <w:tcBorders>
                    <w:tl2br w:val="nil"/>
                    <w:tr2bl w:val="nil"/>
                  </w:tcBorders>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数量</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c>
                <w:tcPr>
                  <w:tcW w:w="1309" w:type="pct"/>
                  <w:tcBorders>
                    <w:tl2br w:val="nil"/>
                    <w:tr2bl w:val="nil"/>
                  </w:tcBorders>
                  <w:vAlign w:val="center"/>
                </w:tcPr>
                <w:p>
                  <w:pPr>
                    <w:pStyle w:val="43"/>
                    <w:pBdr>
                      <w:left w:val="none" w:color="auto" w:sz="0" w:space="0"/>
                      <w:right w:val="none" w:color="auto" w:sz="0" w:space="0"/>
                    </w:pBdr>
                    <w:spacing w:before="0" w:beforeAutospacing="0" w:after="0" w:afterAutospacing="0"/>
                    <w:textAlignment w:val="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给料机</w:t>
                  </w:r>
                </w:p>
              </w:tc>
              <w:tc>
                <w:tcPr>
                  <w:tcW w:w="1813"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GBQ320-4</w:t>
                  </w:r>
                </w:p>
              </w:tc>
              <w:tc>
                <w:tcPr>
                  <w:tcW w:w="1291" w:type="pct"/>
                  <w:tcBorders>
                    <w:tl2br w:val="nil"/>
                    <w:tr2bl w:val="nil"/>
                  </w:tcBorders>
                  <w:vAlign w:val="center"/>
                </w:tcPr>
                <w:p>
                  <w:pPr>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1台</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w:t>
                  </w:r>
                </w:p>
              </w:tc>
              <w:tc>
                <w:tcPr>
                  <w:tcW w:w="1309" w:type="pct"/>
                  <w:tcBorders>
                    <w:tl2br w:val="nil"/>
                    <w:tr2bl w:val="nil"/>
                  </w:tcBorders>
                  <w:vAlign w:val="center"/>
                </w:tcPr>
                <w:p>
                  <w:pPr>
                    <w:pStyle w:val="43"/>
                    <w:pBdr>
                      <w:left w:val="none" w:color="auto" w:sz="0" w:space="0"/>
                      <w:right w:val="none" w:color="auto" w:sz="0" w:space="0"/>
                    </w:pBdr>
                    <w:spacing w:before="0" w:beforeAutospacing="0" w:after="0" w:afterAutospacing="0"/>
                    <w:textAlignment w:val="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干粉配料器</w:t>
                  </w:r>
                </w:p>
              </w:tc>
              <w:tc>
                <w:tcPr>
                  <w:tcW w:w="1813"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p>
              </w:tc>
              <w:tc>
                <w:tcPr>
                  <w:tcW w:w="129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p>
              </w:tc>
              <w:tc>
                <w:tcPr>
                  <w:tcW w:w="1309" w:type="pct"/>
                  <w:tcBorders>
                    <w:tl2br w:val="nil"/>
                    <w:tr2bl w:val="nil"/>
                  </w:tcBorders>
                  <w:vAlign w:val="center"/>
                </w:tcPr>
                <w:p>
                  <w:pPr>
                    <w:jc w:val="center"/>
                    <w:rPr>
                      <w:color w:val="000000" w:themeColor="text1"/>
                      <w:szCs w:val="21"/>
                      <w:highlight w:val="yellow"/>
                      <w14:textFill>
                        <w14:solidFill>
                          <w14:schemeClr w14:val="tx1"/>
                        </w14:solidFill>
                      </w14:textFill>
                    </w:rPr>
                  </w:pPr>
                  <w:r>
                    <w:rPr>
                      <w:rFonts w:hint="eastAsia" w:ascii="宋体" w:hAnsi="宋体"/>
                      <w:color w:val="000000" w:themeColor="text1"/>
                      <w:szCs w:val="21"/>
                      <w:highlight w:val="yellow"/>
                      <w14:textFill>
                        <w14:solidFill>
                          <w14:schemeClr w14:val="tx1"/>
                        </w14:solidFill>
                      </w14:textFill>
                    </w:rPr>
                    <w:t>破碎机</w:t>
                  </w:r>
                </w:p>
              </w:tc>
              <w:tc>
                <w:tcPr>
                  <w:tcW w:w="1813" w:type="pct"/>
                  <w:tcBorders>
                    <w:tl2br w:val="nil"/>
                    <w:tr2bl w:val="nil"/>
                  </w:tcBorders>
                  <w:vAlign w:val="center"/>
                </w:tcPr>
                <w:p>
                  <w:pPr>
                    <w:jc w:val="center"/>
                    <w:rPr>
                      <w:color w:val="000000" w:themeColor="text1"/>
                      <w:szCs w:val="21"/>
                      <w:highlight w:val="yellow"/>
                      <w14:textFill>
                        <w14:solidFill>
                          <w14:schemeClr w14:val="tx1"/>
                        </w14:solidFill>
                      </w14:textFill>
                    </w:rPr>
                  </w:pPr>
                  <w:r>
                    <w:rPr>
                      <w:rFonts w:hint="eastAsia"/>
                      <w:color w:val="000000" w:themeColor="text1"/>
                      <w:szCs w:val="21"/>
                      <w:highlight w:val="yellow"/>
                      <w14:textFill>
                        <w14:solidFill>
                          <w14:schemeClr w14:val="tx1"/>
                        </w14:solidFill>
                      </w14:textFill>
                    </w:rPr>
                    <w:t>LB-3000；出料粒度：0.5~3mm</w:t>
                  </w:r>
                </w:p>
              </w:tc>
              <w:tc>
                <w:tcPr>
                  <w:tcW w:w="1291" w:type="pct"/>
                  <w:tcBorders>
                    <w:tl2br w:val="nil"/>
                    <w:tr2bl w:val="nil"/>
                  </w:tcBorders>
                  <w:vAlign w:val="center"/>
                </w:tcPr>
                <w:p>
                  <w:pPr>
                    <w:jc w:val="center"/>
                    <w:rPr>
                      <w:color w:val="000000" w:themeColor="text1"/>
                      <w:szCs w:val="21"/>
                      <w:highlight w:val="yellow"/>
                      <w14:textFill>
                        <w14:solidFill>
                          <w14:schemeClr w14:val="tx1"/>
                        </w14:solidFill>
                      </w14:textFill>
                    </w:rPr>
                  </w:pPr>
                  <w:r>
                    <w:rPr>
                      <w:rFonts w:hint="eastAsia"/>
                      <w:color w:val="000000" w:themeColor="text1"/>
                      <w:szCs w:val="21"/>
                      <w:highlight w:val="yellow"/>
                      <w14:textFill>
                        <w14:solidFill>
                          <w14:schemeClr w14:val="tx1"/>
                        </w14:solidFill>
                      </w14:textFill>
                    </w:rPr>
                    <w:t>1台</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c>
                <w:tcPr>
                  <w:tcW w:w="130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双轴搅拌机</w:t>
                  </w:r>
                </w:p>
              </w:tc>
              <w:tc>
                <w:tcPr>
                  <w:tcW w:w="181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ST-8000</w:t>
                  </w:r>
                </w:p>
              </w:tc>
              <w:tc>
                <w:tcPr>
                  <w:tcW w:w="129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c>
                <w:tcPr>
                  <w:tcW w:w="130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压球机</w:t>
                  </w:r>
                </w:p>
              </w:tc>
              <w:tc>
                <w:tcPr>
                  <w:tcW w:w="181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1800型</w:t>
                  </w:r>
                </w:p>
              </w:tc>
              <w:tc>
                <w:tcPr>
                  <w:tcW w:w="129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c>
                <w:tcPr>
                  <w:tcW w:w="130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皮带机</w:t>
                  </w:r>
                </w:p>
              </w:tc>
              <w:tc>
                <w:tcPr>
                  <w:tcW w:w="181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p>
              </w:tc>
              <w:tc>
                <w:tcPr>
                  <w:tcW w:w="129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1条</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7</w:t>
                  </w:r>
                </w:p>
              </w:tc>
              <w:tc>
                <w:tcPr>
                  <w:tcW w:w="130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洒水车</w:t>
                  </w:r>
                </w:p>
              </w:tc>
              <w:tc>
                <w:tcPr>
                  <w:tcW w:w="181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p>
              </w:tc>
              <w:tc>
                <w:tcPr>
                  <w:tcW w:w="129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8</w:t>
                  </w:r>
                </w:p>
              </w:tc>
              <w:tc>
                <w:tcPr>
                  <w:tcW w:w="130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装载车</w:t>
                  </w:r>
                </w:p>
              </w:tc>
              <w:tc>
                <w:tcPr>
                  <w:tcW w:w="181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p>
              </w:tc>
              <w:tc>
                <w:tcPr>
                  <w:tcW w:w="129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2辆</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4"/>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环保设备</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85"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c>
                <w:tcPr>
                  <w:tcW w:w="1309"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ascii="宋体" w:hAnsi="宋体" w:cs="宋体"/>
                      <w:color w:val="000000" w:themeColor="text1"/>
                      <w:szCs w:val="28"/>
                      <w14:textFill>
                        <w14:solidFill>
                          <w14:schemeClr w14:val="tx1"/>
                        </w14:solidFill>
                      </w14:textFill>
                    </w:rPr>
                    <w:t>布袋除尘器</w:t>
                  </w:r>
                </w:p>
              </w:tc>
              <w:tc>
                <w:tcPr>
                  <w:tcW w:w="1813"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设计风量为1万m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/h，布袋面积为300m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，材质为涤纶针毡</w:t>
                  </w:r>
                </w:p>
              </w:tc>
              <w:tc>
                <w:tcPr>
                  <w:tcW w:w="1291" w:type="pct"/>
                  <w:tcBorders>
                    <w:tl2br w:val="nil"/>
                    <w:tr2bl w:val="nil"/>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1套</w:t>
                  </w:r>
                </w:p>
              </w:tc>
            </w:tr>
          </w:tbl>
          <w:p>
            <w:pPr>
              <w:snapToGrid w:val="0"/>
              <w:spacing w:line="480" w:lineRule="exact"/>
              <w:ind w:firstLine="480" w:firstLineChars="200"/>
              <w:rPr>
                <w:rFonts w:eastAsia="黑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本项目生产设备为压球机，最大生产能力为120m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/h，按照4800h/a的工作制度可核算，生产规模为576000m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/a，可满足生产需要。</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3</w:t>
            </w:r>
            <w:r>
              <w:rPr>
                <w:rFonts w:eastAsia="黑体"/>
                <w:color w:val="000000" w:themeColor="text1"/>
                <w:sz w:val="24"/>
                <w14:textFill>
                  <w14:solidFill>
                    <w14:schemeClr w14:val="tx1"/>
                  </w14:solidFill>
                </w14:textFill>
              </w:rPr>
              <w:t>、生产制度和职工定员</w:t>
            </w:r>
          </w:p>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工作制度：</w:t>
            </w:r>
            <w:r>
              <w:rPr>
                <w:rFonts w:hint="eastAsia"/>
                <w:color w:val="000000" w:themeColor="text1"/>
                <w:spacing w:val="-4"/>
                <w:sz w:val="24"/>
                <w14:textFill>
                  <w14:solidFill>
                    <w14:schemeClr w14:val="tx1"/>
                  </w14:solidFill>
                </w14:textFill>
              </w:rPr>
              <w:t>本项目</w:t>
            </w:r>
            <w:r>
              <w:rPr>
                <w:rFonts w:hint="eastAsia"/>
                <w:color w:val="000000" w:themeColor="text1"/>
                <w:kern w:val="0"/>
                <w:sz w:val="24"/>
                <w14:textFill>
                  <w14:solidFill>
                    <w14:schemeClr w14:val="tx1"/>
                  </w14:solidFill>
                </w14:textFill>
              </w:rPr>
              <w:t>生产线</w:t>
            </w:r>
            <w:r>
              <w:rPr>
                <w:bCs/>
                <w:color w:val="000000" w:themeColor="text1"/>
                <w:sz w:val="24"/>
                <w14:textFill>
                  <w14:solidFill>
                    <w14:schemeClr w14:val="tx1"/>
                  </w14:solidFill>
                </w14:textFill>
              </w:rPr>
              <w:t>年工作日</w:t>
            </w:r>
            <w:r>
              <w:rPr>
                <w:rFonts w:hint="eastAsia"/>
                <w:bCs/>
                <w:color w:val="000000" w:themeColor="text1"/>
                <w:sz w:val="24"/>
                <w14:textFill>
                  <w14:solidFill>
                    <w14:schemeClr w14:val="tx1"/>
                  </w14:solidFill>
                </w14:textFill>
              </w:rPr>
              <w:t>300</w:t>
            </w:r>
            <w:r>
              <w:rPr>
                <w:bCs/>
                <w:color w:val="000000" w:themeColor="text1"/>
                <w:sz w:val="24"/>
                <w14:textFill>
                  <w14:solidFill>
                    <w14:schemeClr w14:val="tx1"/>
                  </w14:solidFill>
                </w14:textFill>
              </w:rPr>
              <w:t>天，</w:t>
            </w:r>
            <w:r>
              <w:rPr>
                <w:rFonts w:hint="eastAsia"/>
                <w:bCs/>
                <w:color w:val="000000" w:themeColor="text1"/>
                <w:sz w:val="24"/>
                <w14:textFill>
                  <w14:solidFill>
                    <w14:schemeClr w14:val="tx1"/>
                  </w14:solidFill>
                </w14:textFill>
              </w:rPr>
              <w:t>每天两班，</w:t>
            </w:r>
            <w:r>
              <w:rPr>
                <w:color w:val="000000" w:themeColor="text1"/>
                <w:sz w:val="24"/>
                <w14:textFill>
                  <w14:solidFill>
                    <w14:schemeClr w14:val="tx1"/>
                  </w14:solidFill>
                </w14:textFill>
              </w:rPr>
              <w:t>每</w:t>
            </w:r>
            <w:r>
              <w:rPr>
                <w:rFonts w:hint="eastAsia"/>
                <w:color w:val="000000" w:themeColor="text1"/>
                <w:sz w:val="24"/>
                <w14:textFill>
                  <w14:solidFill>
                    <w14:schemeClr w14:val="tx1"/>
                  </w14:solidFill>
                </w14:textFill>
              </w:rPr>
              <w:t>班</w:t>
            </w:r>
            <w:r>
              <w:rPr>
                <w:color w:val="000000" w:themeColor="text1"/>
                <w:sz w:val="24"/>
                <w14:textFill>
                  <w14:solidFill>
                    <w14:schemeClr w14:val="tx1"/>
                  </w14:solidFill>
                </w14:textFill>
              </w:rPr>
              <w:t>工作</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小时</w:t>
            </w:r>
            <w:r>
              <w:rPr>
                <w:bCs/>
                <w:color w:val="000000" w:themeColor="text1"/>
                <w:sz w:val="24"/>
                <w14:textFill>
                  <w14:solidFill>
                    <w14:schemeClr w14:val="tx1"/>
                  </w14:solidFill>
                </w14:textFill>
              </w:rPr>
              <w:t>。</w:t>
            </w:r>
          </w:p>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劳动定员：</w:t>
            </w:r>
            <w:r>
              <w:rPr>
                <w:rFonts w:hint="eastAsia"/>
                <w:bCs/>
                <w:color w:val="000000" w:themeColor="text1"/>
                <w:sz w:val="24"/>
                <w14:textFill>
                  <w14:solidFill>
                    <w14:schemeClr w14:val="tx1"/>
                  </w14:solidFill>
                </w14:textFill>
              </w:rPr>
              <w:t>项目劳动定员12</w:t>
            </w:r>
            <w:r>
              <w:rPr>
                <w:bCs/>
                <w:color w:val="000000" w:themeColor="text1"/>
                <w:sz w:val="24"/>
                <w14:textFill>
                  <w14:solidFill>
                    <w14:schemeClr w14:val="tx1"/>
                  </w14:solidFill>
                </w14:textFill>
              </w:rPr>
              <w:t>人，</w:t>
            </w:r>
            <w:r>
              <w:rPr>
                <w:rFonts w:hint="eastAsia"/>
                <w:bCs/>
                <w:color w:val="000000" w:themeColor="text1"/>
                <w:sz w:val="24"/>
                <w14:textFill>
                  <w14:solidFill>
                    <w14:schemeClr w14:val="tx1"/>
                  </w14:solidFill>
                </w14:textFill>
              </w:rPr>
              <w:t>其中管理人员为2人，厂区不设食堂和住宿</w:t>
            </w:r>
            <w:r>
              <w:rPr>
                <w:bCs/>
                <w:color w:val="000000" w:themeColor="text1"/>
                <w:sz w:val="24"/>
                <w14:textFill>
                  <w14:solidFill>
                    <w14:schemeClr w14:val="tx1"/>
                  </w14:solidFill>
                </w14:textFill>
              </w:rPr>
              <w:t>。</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4</w:t>
            </w:r>
            <w:r>
              <w:rPr>
                <w:rFonts w:eastAsia="黑体"/>
                <w:color w:val="000000" w:themeColor="text1"/>
                <w:sz w:val="24"/>
                <w14:textFill>
                  <w14:solidFill>
                    <w14:schemeClr w14:val="tx1"/>
                  </w14:solidFill>
                </w14:textFill>
              </w:rPr>
              <w:t>、总平面布置</w:t>
            </w:r>
          </w:p>
          <w:p>
            <w:pPr>
              <w:snapToGrid w:val="0"/>
              <w:spacing w:line="480" w:lineRule="exact"/>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本项目占地</w:t>
            </w:r>
            <w:r>
              <w:rPr>
                <w:rFonts w:hint="eastAsia"/>
                <w:bCs/>
                <w:color w:val="000000" w:themeColor="text1"/>
                <w:sz w:val="24"/>
                <w14:textFill>
                  <w14:solidFill>
                    <w14:schemeClr w14:val="tx1"/>
                  </w14:solidFill>
                </w14:textFill>
              </w:rPr>
              <w:t>面积</w:t>
            </w:r>
            <w:r>
              <w:rPr>
                <w:rFonts w:hint="eastAsia"/>
                <w:color w:val="000000" w:themeColor="text1"/>
                <w:sz w:val="24"/>
                <w14:textFill>
                  <w14:solidFill>
                    <w14:schemeClr w14:val="tx1"/>
                  </w14:solidFill>
                </w14:textFill>
              </w:rPr>
              <w:t>14718</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rFonts w:hint="eastAsia"/>
                <w:bCs/>
                <w:color w:val="000000" w:themeColor="text1"/>
                <w:sz w:val="24"/>
                <w14:textFill>
                  <w14:solidFill>
                    <w14:schemeClr w14:val="tx1"/>
                  </w14:solidFill>
                </w14:textFill>
              </w:rPr>
              <w:t>（22.1亩）</w:t>
            </w:r>
            <w:r>
              <w:rPr>
                <w:color w:val="000000" w:themeColor="text1"/>
                <w:sz w:val="24"/>
                <w14:textFill>
                  <w14:solidFill>
                    <w14:schemeClr w14:val="tx1"/>
                  </w14:solidFill>
                </w14:textFill>
              </w:rPr>
              <w:t>，结合厂区地形、地质、气象等自然条件，全面地、因地制宜地对工厂建筑物、运输线路和绿化等进行总平面布置，力求紧凑合理，节约用地，节省投资，有利生产，方便管理。办公生活区位于厂区</w:t>
            </w:r>
            <w:r>
              <w:rPr>
                <w:rFonts w:hint="eastAsia"/>
                <w:color w:val="000000" w:themeColor="text1"/>
                <w:sz w:val="24"/>
                <w14:textFill>
                  <w14:solidFill>
                    <w14:schemeClr w14:val="tx1"/>
                  </w14:solidFill>
                </w14:textFill>
              </w:rPr>
              <w:t>东侧，生产车间位于厂区西侧，设生产区、破碎区等</w:t>
            </w:r>
            <w:r>
              <w:rPr>
                <w:color w:val="000000" w:themeColor="text1"/>
                <w:sz w:val="24"/>
                <w14:textFill>
                  <w14:solidFill>
                    <w14:schemeClr w14:val="tx1"/>
                  </w14:solidFill>
                </w14:textFill>
              </w:rPr>
              <w:t>。</w:t>
            </w:r>
          </w:p>
          <w:p>
            <w:pPr>
              <w:snapToGrid w:val="0"/>
              <w:spacing w:line="480" w:lineRule="exact"/>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项目总平面布置示意图见附图</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5</w:t>
            </w:r>
            <w:r>
              <w:rPr>
                <w:rFonts w:eastAsia="黑体"/>
                <w:color w:val="000000" w:themeColor="text1"/>
                <w:sz w:val="24"/>
                <w14:textFill>
                  <w14:solidFill>
                    <w14:schemeClr w14:val="tx1"/>
                  </w14:solidFill>
                </w14:textFill>
              </w:rPr>
              <w:t>、公用工程</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5.1</w:t>
            </w:r>
            <w:r>
              <w:rPr>
                <w:rFonts w:eastAsia="黑体"/>
                <w:color w:val="000000" w:themeColor="text1"/>
                <w:sz w:val="24"/>
                <w14:textFill>
                  <w14:solidFill>
                    <w14:schemeClr w14:val="tx1"/>
                  </w14:solidFill>
                </w14:textFill>
              </w:rPr>
              <w:t>给排水</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①</w:t>
            </w:r>
            <w:r>
              <w:rPr>
                <w:rFonts w:hint="eastAsia"/>
                <w:color w:val="000000" w:themeColor="text1"/>
                <w:sz w:val="24"/>
                <w14:textFill>
                  <w14:solidFill>
                    <w14:schemeClr w14:val="tx1"/>
                  </w14:solidFill>
                </w14:textFill>
              </w:rPr>
              <w:t>水源</w:t>
            </w:r>
          </w:p>
          <w:p>
            <w:pPr>
              <w:snapToGrid w:val="0"/>
              <w:spacing w:line="480" w:lineRule="exact"/>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本项目厂区用水水源来自厂区自备井，可以满足项目生产、生活用水需要。</w:t>
            </w:r>
          </w:p>
          <w:p>
            <w:pPr>
              <w:snapToGrid w:val="0"/>
              <w:spacing w:line="480" w:lineRule="exact"/>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②给水</w:t>
            </w:r>
          </w:p>
          <w:p>
            <w:pPr>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本项目用水主要为</w:t>
            </w:r>
            <w:r>
              <w:rPr>
                <w:rFonts w:hint="eastAsia"/>
                <w:bCs/>
                <w:color w:val="000000" w:themeColor="text1"/>
                <w:sz w:val="24"/>
                <w14:textFill>
                  <w14:solidFill>
                    <w14:schemeClr w14:val="tx1"/>
                  </w14:solidFill>
                </w14:textFill>
              </w:rPr>
              <w:t>生产用水、运输车辆轮胎清洗废水、职工</w:t>
            </w:r>
            <w:r>
              <w:rPr>
                <w:bCs/>
                <w:color w:val="000000" w:themeColor="text1"/>
                <w:sz w:val="24"/>
                <w14:textFill>
                  <w14:solidFill>
                    <w14:schemeClr w14:val="tx1"/>
                  </w14:solidFill>
                </w14:textFill>
              </w:rPr>
              <w:t>生活用水</w:t>
            </w:r>
            <w:r>
              <w:rPr>
                <w:rFonts w:hint="eastAsia"/>
                <w:bCs/>
                <w:color w:val="000000" w:themeColor="text1"/>
                <w:sz w:val="24"/>
                <w14:textFill>
                  <w14:solidFill>
                    <w14:schemeClr w14:val="tx1"/>
                  </w14:solidFill>
                </w14:textFill>
              </w:rPr>
              <w:t>和厂区绿化用水</w:t>
            </w:r>
            <w:r>
              <w:rPr>
                <w:bCs/>
                <w:color w:val="000000" w:themeColor="text1"/>
                <w:sz w:val="24"/>
                <w14:textFill>
                  <w14:solidFill>
                    <w14:schemeClr w14:val="tx1"/>
                  </w14:solidFill>
                </w14:textFill>
              </w:rPr>
              <w:t>。</w:t>
            </w:r>
          </w:p>
          <w:p>
            <w:pPr>
              <w:snapToGrid w:val="0"/>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根据产品方案设计，生产过程中用水量为0.05m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/t产品，即总用水量为25000m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/a。</w:t>
            </w:r>
          </w:p>
          <w:p>
            <w:pPr>
              <w:snapToGrid w:val="0"/>
              <w:spacing w:line="48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b</w:t>
            </w:r>
            <w:r>
              <w:rPr>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运输车辆轮胎清洗用水</w:t>
            </w:r>
          </w:p>
          <w:p>
            <w:pPr>
              <w:spacing w:line="480" w:lineRule="exact"/>
              <w:ind w:firstLine="480" w:firstLineChars="200"/>
              <w:rPr>
                <w:rFonts w:hint="eastAsia"/>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厂区设运输1座车辆清洗平台，沉淀池为二级沉淀，容积为5m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；运输车辆清洗用水按30L/辆•次计算，运输车辆为40辆，则用水量为1.2m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/d，即360m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 xml:space="preserve">/a。 </w:t>
            </w:r>
          </w:p>
          <w:p>
            <w:pPr>
              <w:snapToGrid w:val="0"/>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w:t>
            </w:r>
            <w:r>
              <w:rPr>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生活用水</w:t>
            </w:r>
          </w:p>
          <w:p>
            <w:pPr>
              <w:snapToGrid w:val="0"/>
              <w:spacing w:line="480" w:lineRule="exact"/>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本项目员工为附近村民，厂内不设食宿、洗浴，厕所使用旱厕。</w:t>
            </w:r>
            <w:r>
              <w:rPr>
                <w:rFonts w:hint="eastAsia" w:hAnsi="宋体"/>
                <w:color w:val="000000" w:themeColor="text1"/>
                <w:sz w:val="24"/>
                <w14:textFill>
                  <w14:solidFill>
                    <w14:schemeClr w14:val="tx1"/>
                  </w14:solidFill>
                </w14:textFill>
              </w:rPr>
              <w:t>参考《山西省用水定额</w:t>
            </w: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第</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部分：城镇生活用水定额》（</w:t>
            </w:r>
            <w:r>
              <w:rPr>
                <w:rFonts w:hAnsi="宋体"/>
                <w:color w:val="000000" w:themeColor="text1"/>
                <w:sz w:val="24"/>
                <w14:textFill>
                  <w14:solidFill>
                    <w14:schemeClr w14:val="tx1"/>
                  </w14:solidFill>
                </w14:textFill>
              </w:rPr>
              <w:t>DB14/T 1049.3-2015</w:t>
            </w:r>
            <w:r>
              <w:rPr>
                <w:rFonts w:hint="eastAsia" w:hAnsi="宋体"/>
                <w:color w:val="000000" w:themeColor="text1"/>
                <w:sz w:val="24"/>
                <w14:textFill>
                  <w14:solidFill>
                    <w14:schemeClr w14:val="tx1"/>
                  </w14:solidFill>
                </w14:textFill>
              </w:rPr>
              <w:t>），职工生活用水取60</w:t>
            </w:r>
            <w:r>
              <w:rPr>
                <w:rFonts w:hAnsi="宋体"/>
                <w:color w:val="000000" w:themeColor="text1"/>
                <w:sz w:val="24"/>
                <w14:textFill>
                  <w14:solidFill>
                    <w14:schemeClr w14:val="tx1"/>
                  </w14:solidFill>
                </w14:textFill>
              </w:rPr>
              <w:t>L/(p</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d)</w:t>
            </w:r>
            <w:r>
              <w:rPr>
                <w:rFonts w:hint="eastAsia"/>
                <w:bCs/>
                <w:color w:val="000000" w:themeColor="text1"/>
                <w:sz w:val="24"/>
                <w14:textFill>
                  <w14:solidFill>
                    <w14:schemeClr w14:val="tx1"/>
                  </w14:solidFill>
                </w14:textFill>
              </w:rPr>
              <w:t>，本项目劳动定员12人，即生活用水量为0.72m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/d，则年用水量为216m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/a。</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d</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绿化</w:t>
            </w:r>
            <w:r>
              <w:rPr>
                <w:color w:val="000000" w:themeColor="text1"/>
                <w:sz w:val="24"/>
                <w14:textFill>
                  <w14:solidFill>
                    <w14:schemeClr w14:val="tx1"/>
                  </w14:solidFill>
                </w14:textFill>
              </w:rPr>
              <w:t>用水</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本项目绿化面积</w:t>
            </w:r>
            <w:r>
              <w:rPr>
                <w:rFonts w:hint="eastAsia"/>
                <w:color w:val="000000" w:themeColor="text1"/>
                <w:sz w:val="24"/>
                <w14:textFill>
                  <w14:solidFill>
                    <w14:schemeClr w14:val="tx1"/>
                  </w14:solidFill>
                </w14:textFill>
              </w:rPr>
              <w:t>1000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，绿化用水量按</w:t>
            </w:r>
            <w:r>
              <w:rPr>
                <w:rFonts w:hint="eastAsia"/>
                <w:color w:val="000000" w:themeColor="text1"/>
                <w:sz w:val="24"/>
                <w14:textFill>
                  <w14:solidFill>
                    <w14:schemeClr w14:val="tx1"/>
                  </w14:solidFill>
                </w14:textFill>
              </w:rPr>
              <w:t>0.28</w:t>
            </w:r>
            <w:r>
              <w:rPr>
                <w:color w:val="000000" w:themeColor="text1"/>
                <w:sz w:val="24"/>
                <w14:textFill>
                  <w14:solidFill>
                    <w14:schemeClr w14:val="tx1"/>
                  </w14:solidFill>
                </w14:textFill>
              </w:rPr>
              <w:t>m</w:t>
            </w:r>
            <w:r>
              <w:rPr>
                <w:rFonts w:hint="eastAsia"/>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a</w:t>
            </w:r>
            <w:r>
              <w:rPr>
                <w:color w:val="000000" w:themeColor="text1"/>
                <w:sz w:val="24"/>
                <w14:textFill>
                  <w14:solidFill>
                    <w14:schemeClr w14:val="tx1"/>
                  </w14:solidFill>
                </w14:textFill>
              </w:rPr>
              <w:t>计，则绿化用水量为</w:t>
            </w:r>
            <w:r>
              <w:rPr>
                <w:rFonts w:hint="eastAsia"/>
                <w:color w:val="000000" w:themeColor="text1"/>
                <w:sz w:val="24"/>
                <w14:textFill>
                  <w14:solidFill>
                    <w14:schemeClr w14:val="tx1"/>
                  </w14:solidFill>
                </w14:textFill>
              </w:rPr>
              <w:t>280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a</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绿化用水按210天计，日</w:t>
            </w:r>
            <w:r>
              <w:rPr>
                <w:color w:val="000000" w:themeColor="text1"/>
                <w:sz w:val="24"/>
                <w14:textFill>
                  <w14:solidFill>
                    <w14:schemeClr w14:val="tx1"/>
                  </w14:solidFill>
                </w14:textFill>
              </w:rPr>
              <w:t>消耗绿化用水</w:t>
            </w:r>
            <w:r>
              <w:rPr>
                <w:rFonts w:hint="eastAsia"/>
                <w:color w:val="000000" w:themeColor="text1"/>
                <w:sz w:val="24"/>
                <w14:textFill>
                  <w14:solidFill>
                    <w14:schemeClr w14:val="tx1"/>
                  </w14:solidFill>
                </w14:textFill>
              </w:rPr>
              <w:t>约1.3</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d</w:t>
            </w:r>
            <w:r>
              <w:rPr>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③</w:t>
            </w:r>
            <w:r>
              <w:rPr>
                <w:color w:val="000000" w:themeColor="text1"/>
                <w:sz w:val="24"/>
                <w14:textFill>
                  <w14:solidFill>
                    <w14:schemeClr w14:val="tx1"/>
                  </w14:solidFill>
                </w14:textFill>
              </w:rPr>
              <w:t>排水</w:t>
            </w:r>
          </w:p>
          <w:p>
            <w:pPr>
              <w:snapToGrid w:val="0"/>
              <w:spacing w:line="48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本项目生产过程中不产生废水。</w:t>
            </w:r>
          </w:p>
          <w:p>
            <w:pPr>
              <w:spacing w:line="480" w:lineRule="exac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项目生活污水量按照用水量的80%计，则本厂区职工生活污水产生量为0.576m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/d，由于产生量较小，水质简单，直接泼洒</w:t>
            </w:r>
            <w:r>
              <w:rPr>
                <w:bCs/>
                <w:color w:val="000000" w:themeColor="text1"/>
                <w:sz w:val="24"/>
                <w14:textFill>
                  <w14:solidFill>
                    <w14:schemeClr w14:val="tx1"/>
                  </w14:solidFill>
                </w14:textFill>
              </w:rPr>
              <w:t>用于厂区洒水抑尘</w:t>
            </w:r>
            <w:r>
              <w:rPr>
                <w:rFonts w:hint="eastAsia"/>
                <w:bCs/>
                <w:color w:val="000000" w:themeColor="text1"/>
                <w:sz w:val="24"/>
                <w14:textFill>
                  <w14:solidFill>
                    <w14:schemeClr w14:val="tx1"/>
                  </w14:solidFill>
                </w14:textFill>
              </w:rPr>
              <w:t>，不外排</w:t>
            </w:r>
            <w:r>
              <w:rPr>
                <w:bCs/>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本项目用水情况分析见表</w:t>
            </w:r>
            <w:r>
              <w:rPr>
                <w:rFonts w:hint="eastAsia"/>
                <w:color w:val="000000" w:themeColor="text1"/>
                <w:sz w:val="24"/>
                <w14:textFill>
                  <w14:solidFill>
                    <w14:schemeClr w14:val="tx1"/>
                  </w14:solidFill>
                </w14:textFill>
              </w:rPr>
              <w:t>1-5，水平衡图见图1</w:t>
            </w:r>
            <w:r>
              <w:rPr>
                <w:color w:val="000000" w:themeColor="text1"/>
                <w:sz w:val="24"/>
                <w14:textFill>
                  <w14:solidFill>
                    <w14:schemeClr w14:val="tx1"/>
                  </w14:solidFill>
                </w14:textFill>
              </w:rPr>
              <w:t>。</w:t>
            </w:r>
          </w:p>
          <w:p>
            <w:pPr>
              <w:spacing w:line="48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 xml:space="preserve">1-5 </w:t>
            </w:r>
            <w:r>
              <w:rPr>
                <w:b/>
                <w:color w:val="000000" w:themeColor="text1"/>
                <w:sz w:val="24"/>
                <w14:textFill>
                  <w14:solidFill>
                    <w14:schemeClr w14:val="tx1"/>
                  </w14:solidFill>
                </w14:textFill>
              </w:rPr>
              <w:t xml:space="preserve"> 项目用水情况分析</w:t>
            </w:r>
          </w:p>
          <w:tbl>
            <w:tblPr>
              <w:tblStyle w:val="32"/>
              <w:tblW w:w="4997" w:type="pct"/>
              <w:jc w:val="center"/>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458"/>
              <w:gridCol w:w="1129"/>
              <w:gridCol w:w="1052"/>
              <w:gridCol w:w="940"/>
              <w:gridCol w:w="962"/>
              <w:gridCol w:w="960"/>
              <w:gridCol w:w="933"/>
              <w:gridCol w:w="960"/>
              <w:gridCol w:w="673"/>
            </w:tblGrid>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458"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用水项目</w:t>
                  </w:r>
                </w:p>
              </w:tc>
              <w:tc>
                <w:tcPr>
                  <w:tcW w:w="1129"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用水定额</w:t>
                  </w:r>
                </w:p>
              </w:tc>
              <w:tc>
                <w:tcPr>
                  <w:tcW w:w="1052"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数量</w:t>
                  </w:r>
                </w:p>
              </w:tc>
              <w:tc>
                <w:tcPr>
                  <w:tcW w:w="940"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用水量</w:t>
                  </w:r>
                </w:p>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/d）</w:t>
                  </w:r>
                </w:p>
              </w:tc>
              <w:tc>
                <w:tcPr>
                  <w:tcW w:w="962"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年用水量</w:t>
                  </w:r>
                </w:p>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c>
                <w:tcPr>
                  <w:tcW w:w="960"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排放系数</w:t>
                  </w:r>
                </w:p>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33"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排水量</w:t>
                  </w:r>
                </w:p>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/d）</w:t>
                  </w:r>
                </w:p>
              </w:tc>
              <w:tc>
                <w:tcPr>
                  <w:tcW w:w="960"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年排水量</w:t>
                  </w:r>
                </w:p>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c>
                <w:tcPr>
                  <w:tcW w:w="673" w:type="dxa"/>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3" w:hRule="atLeast"/>
                <w:jc w:val="center"/>
              </w:trPr>
              <w:tc>
                <w:tcPr>
                  <w:tcW w:w="804"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生产用水</w:t>
                  </w:r>
                </w:p>
              </w:tc>
              <w:tc>
                <w:tcPr>
                  <w:tcW w:w="622" w:type="pct"/>
                  <w:tcBorders>
                    <w:tl2br w:val="nil"/>
                    <w:tr2bl w:val="nil"/>
                  </w:tcBorders>
                  <w:vAlign w:val="center"/>
                </w:tcPr>
                <w:p>
                  <w:pPr>
                    <w:jc w:val="center"/>
                    <w:rPr>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0.05m</w:t>
                  </w:r>
                  <w:r>
                    <w:rPr>
                      <w:rFonts w:hint="eastAsia"/>
                      <w:snapToGrid w:val="0"/>
                      <w:color w:val="000000" w:themeColor="text1"/>
                      <w:szCs w:val="21"/>
                      <w:vertAlign w:val="superscript"/>
                      <w14:textFill>
                        <w14:solidFill>
                          <w14:schemeClr w14:val="tx1"/>
                        </w14:solidFill>
                      </w14:textFill>
                    </w:rPr>
                    <w:t>3</w:t>
                  </w:r>
                  <w:r>
                    <w:rPr>
                      <w:rFonts w:hint="eastAsia"/>
                      <w:snapToGrid w:val="0"/>
                      <w:color w:val="000000" w:themeColor="text1"/>
                      <w:szCs w:val="21"/>
                      <w14:textFill>
                        <w14:solidFill>
                          <w14:schemeClr w14:val="tx1"/>
                        </w14:solidFill>
                      </w14:textFill>
                    </w:rPr>
                    <w:t>/t产品</w:t>
                  </w:r>
                </w:p>
              </w:tc>
              <w:tc>
                <w:tcPr>
                  <w:tcW w:w="58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50万t</w:t>
                  </w:r>
                </w:p>
              </w:tc>
              <w:tc>
                <w:tcPr>
                  <w:tcW w:w="51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83.3</w:t>
                  </w:r>
                </w:p>
              </w:tc>
              <w:tc>
                <w:tcPr>
                  <w:tcW w:w="530"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2.5万</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514"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371"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300天</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3" w:hRule="atLeast"/>
                <w:jc w:val="center"/>
              </w:trPr>
              <w:tc>
                <w:tcPr>
                  <w:tcW w:w="80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汽车轮胎冲洗用水</w:t>
                  </w:r>
                </w:p>
              </w:tc>
              <w:tc>
                <w:tcPr>
                  <w:tcW w:w="622" w:type="pct"/>
                  <w:tcBorders>
                    <w:tl2br w:val="nil"/>
                    <w:tr2bl w:val="nil"/>
                  </w:tcBorders>
                  <w:vAlign w:val="center"/>
                </w:tcPr>
                <w:p>
                  <w:pPr>
                    <w:jc w:val="center"/>
                    <w:rPr>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30L/辆•次</w:t>
                  </w:r>
                </w:p>
              </w:tc>
              <w:tc>
                <w:tcPr>
                  <w:tcW w:w="58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w:t>
                  </w:r>
                  <w:r>
                    <w:rPr>
                      <w:color w:val="000000" w:themeColor="text1"/>
                      <w:szCs w:val="21"/>
                      <w14:textFill>
                        <w14:solidFill>
                          <w14:schemeClr w14:val="tx1"/>
                        </w14:solidFill>
                      </w14:textFill>
                    </w:rPr>
                    <w:t>辆</w:t>
                  </w:r>
                </w:p>
              </w:tc>
              <w:tc>
                <w:tcPr>
                  <w:tcW w:w="51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530"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360</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514"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371"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300天</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04"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职工生活用水</w:t>
                  </w:r>
                </w:p>
              </w:tc>
              <w:tc>
                <w:tcPr>
                  <w:tcW w:w="622"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r>
                    <w:rPr>
                      <w:color w:val="000000" w:themeColor="text1"/>
                      <w:szCs w:val="21"/>
                      <w14:textFill>
                        <w14:solidFill>
                          <w14:schemeClr w14:val="tx1"/>
                        </w14:solidFill>
                      </w14:textFill>
                    </w:rPr>
                    <w:t>L/人·d</w:t>
                  </w:r>
                </w:p>
              </w:tc>
              <w:tc>
                <w:tcPr>
                  <w:tcW w:w="580"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r>
                    <w:rPr>
                      <w:color w:val="000000" w:themeColor="text1"/>
                      <w:szCs w:val="21"/>
                      <w14:textFill>
                        <w14:solidFill>
                          <w14:schemeClr w14:val="tx1"/>
                        </w14:solidFill>
                      </w14:textFill>
                    </w:rPr>
                    <w:t>人</w:t>
                  </w:r>
                </w:p>
              </w:tc>
              <w:tc>
                <w:tcPr>
                  <w:tcW w:w="518"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0.72</w:t>
                  </w:r>
                </w:p>
              </w:tc>
              <w:tc>
                <w:tcPr>
                  <w:tcW w:w="530"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216</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514"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0.576</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172.8</w:t>
                  </w:r>
                </w:p>
              </w:tc>
              <w:tc>
                <w:tcPr>
                  <w:tcW w:w="371"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300天</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jc w:val="center"/>
              </w:trPr>
              <w:tc>
                <w:tcPr>
                  <w:tcW w:w="804"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绿化用水</w:t>
                  </w:r>
                </w:p>
              </w:tc>
              <w:tc>
                <w:tcPr>
                  <w:tcW w:w="622"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0.28m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•a</w:t>
                  </w:r>
                </w:p>
              </w:tc>
              <w:tc>
                <w:tcPr>
                  <w:tcW w:w="580"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2</w:t>
                  </w:r>
                </w:p>
              </w:tc>
              <w:tc>
                <w:tcPr>
                  <w:tcW w:w="518"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530"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280</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514"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71"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210天</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2" w:hRule="atLeast"/>
                <w:jc w:val="center"/>
              </w:trPr>
              <w:tc>
                <w:tcPr>
                  <w:tcW w:w="804"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622"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p>
              </w:tc>
              <w:tc>
                <w:tcPr>
                  <w:tcW w:w="580" w:type="pct"/>
                  <w:tcBorders>
                    <w:tl2br w:val="nil"/>
                    <w:tr2bl w:val="nil"/>
                  </w:tcBorders>
                  <w:vAlign w:val="center"/>
                </w:tcPr>
                <w:p>
                  <w:pPr>
                    <w:adjustRightInd w:val="0"/>
                    <w:snapToGrid w:val="0"/>
                    <w:spacing w:line="260" w:lineRule="exact"/>
                    <w:jc w:val="center"/>
                    <w:rPr>
                      <w:color w:val="000000" w:themeColor="text1"/>
                      <w:szCs w:val="21"/>
                      <w14:textFill>
                        <w14:solidFill>
                          <w14:schemeClr w14:val="tx1"/>
                        </w14:solidFill>
                      </w14:textFill>
                    </w:rPr>
                  </w:pPr>
                </w:p>
              </w:tc>
              <w:tc>
                <w:tcPr>
                  <w:tcW w:w="518"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86.52</w:t>
                  </w:r>
                </w:p>
              </w:tc>
              <w:tc>
                <w:tcPr>
                  <w:tcW w:w="530"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25856</w:t>
                  </w:r>
                </w:p>
              </w:tc>
              <w:tc>
                <w:tcPr>
                  <w:tcW w:w="529" w:type="pct"/>
                  <w:tcBorders>
                    <w:tl2br w:val="nil"/>
                    <w:tr2bl w:val="nil"/>
                  </w:tcBorders>
                  <w:vAlign w:val="center"/>
                </w:tcPr>
                <w:p>
                  <w:pPr>
                    <w:spacing w:line="260" w:lineRule="exact"/>
                    <w:jc w:val="center"/>
                    <w:rPr>
                      <w:color w:val="000000" w:themeColor="text1"/>
                      <w:sz w:val="24"/>
                      <w14:textFill>
                        <w14:solidFill>
                          <w14:schemeClr w14:val="tx1"/>
                        </w14:solidFill>
                      </w14:textFill>
                    </w:rPr>
                  </w:pPr>
                  <w:r>
                    <w:rPr>
                      <w:color w:val="000000" w:themeColor="text1"/>
                      <w:szCs w:val="21"/>
                      <w14:textFill>
                        <w14:solidFill>
                          <w14:schemeClr w14:val="tx1"/>
                        </w14:solidFill>
                      </w14:textFill>
                    </w:rPr>
                    <w:t>/</w:t>
                  </w:r>
                </w:p>
              </w:tc>
              <w:tc>
                <w:tcPr>
                  <w:tcW w:w="514"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0.576</w:t>
                  </w:r>
                </w:p>
              </w:tc>
              <w:tc>
                <w:tcPr>
                  <w:tcW w:w="529"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172.8</w:t>
                  </w:r>
                </w:p>
              </w:tc>
              <w:tc>
                <w:tcPr>
                  <w:tcW w:w="371" w:type="pct"/>
                  <w:tcBorders>
                    <w:tl2br w:val="nil"/>
                    <w:tr2bl w:val="nil"/>
                  </w:tcBorders>
                  <w:vAlign w:val="center"/>
                </w:tcPr>
                <w:p>
                  <w:pPr>
                    <w:spacing w:line="260" w:lineRule="exact"/>
                    <w:jc w:val="center"/>
                    <w:rPr>
                      <w:color w:val="000000" w:themeColor="text1"/>
                      <w:szCs w:val="21"/>
                      <w14:textFill>
                        <w14:solidFill>
                          <w14:schemeClr w14:val="tx1"/>
                        </w14:solidFill>
                      </w14:textFill>
                    </w:rPr>
                  </w:pPr>
                </w:p>
              </w:tc>
            </w:tr>
          </w:tbl>
          <w:p>
            <w:pPr>
              <w:jc w:val="center"/>
              <w:rPr>
                <w:bCs/>
                <w:color w:val="000000" w:themeColor="text1"/>
                <w:sz w:val="24"/>
                <w14:textFill>
                  <w14:solidFill>
                    <w14:schemeClr w14:val="tx1"/>
                  </w14:solidFill>
                </w14:textFill>
              </w:rPr>
            </w:pPr>
          </w:p>
          <w:p>
            <w:pPr>
              <w:pStyle w:val="31"/>
              <w:rPr>
                <w:b/>
                <w:color w:val="000000" w:themeColor="text1"/>
                <w:sz w:val="24"/>
                <w14:textFill>
                  <w14:solidFill>
                    <w14:schemeClr w14:val="tx1"/>
                  </w14:solidFill>
                </w14:textFill>
              </w:rPr>
            </w:pPr>
            <w:r>
              <w:rPr>
                <w:sz w:val="24"/>
              </w:rPr>
              <mc:AlternateContent>
                <mc:Choice Requires="wpg">
                  <w:drawing>
                    <wp:anchor distT="0" distB="0" distL="114300" distR="114300" simplePos="0" relativeHeight="251698176" behindDoc="0" locked="0" layoutInCell="1" allowOverlap="1">
                      <wp:simplePos x="0" y="0"/>
                      <wp:positionH relativeFrom="column">
                        <wp:posOffset>262890</wp:posOffset>
                      </wp:positionH>
                      <wp:positionV relativeFrom="paragraph">
                        <wp:posOffset>27305</wp:posOffset>
                      </wp:positionV>
                      <wp:extent cx="5384800" cy="2537460"/>
                      <wp:effectExtent l="0" t="0" r="5715" b="53340"/>
                      <wp:wrapNone/>
                      <wp:docPr id="145" name="组合 145"/>
                      <wp:cNvGraphicFramePr/>
                      <a:graphic xmlns:a="http://schemas.openxmlformats.org/drawingml/2006/main">
                        <a:graphicData uri="http://schemas.microsoft.com/office/word/2010/wordprocessingGroup">
                          <wpg:wgp>
                            <wpg:cNvGrpSpPr/>
                            <wpg:grpSpPr>
                              <a:xfrm>
                                <a:off x="0" y="0"/>
                                <a:ext cx="5384800" cy="2537460"/>
                                <a:chOff x="7017" y="168067"/>
                                <a:chExt cx="8480" cy="3996"/>
                              </a:xfrm>
                            </wpg:grpSpPr>
                            <wpg:grpSp>
                              <wpg:cNvPr id="42" name="组合 224"/>
                              <wpg:cNvGrpSpPr/>
                              <wpg:grpSpPr>
                                <a:xfrm>
                                  <a:off x="7547" y="168399"/>
                                  <a:ext cx="7951" cy="3664"/>
                                  <a:chOff x="2164" y="8688"/>
                                  <a:chExt cx="7951" cy="3664"/>
                                </a:xfrm>
                              </wpg:grpSpPr>
                              <wps:wsp>
                                <wps:cNvPr id="5" name="直线 17"/>
                                <wps:cNvCnPr/>
                                <wps:spPr>
                                  <a:xfrm>
                                    <a:off x="3267" y="8688"/>
                                    <a:ext cx="0" cy="2945"/>
                                  </a:xfrm>
                                  <a:prstGeom prst="line">
                                    <a:avLst/>
                                  </a:prstGeom>
                                  <a:ln w="6350" cap="flat" cmpd="sng">
                                    <a:solidFill>
                                      <a:srgbClr val="FF0000"/>
                                    </a:solidFill>
                                    <a:prstDash val="solid"/>
                                    <a:headEnd type="none" w="med" len="med"/>
                                    <a:tailEnd type="none" w="med" len="med"/>
                                  </a:ln>
                                </wps:spPr>
                                <wps:bodyPr/>
                              </wps:wsp>
                              <wps:wsp>
                                <wps:cNvPr id="6" name="直线 26"/>
                                <wps:cNvCnPr/>
                                <wps:spPr>
                                  <a:xfrm flipV="1">
                                    <a:off x="2164" y="10753"/>
                                    <a:ext cx="1095" cy="14"/>
                                  </a:xfrm>
                                  <a:prstGeom prst="line">
                                    <a:avLst/>
                                  </a:prstGeom>
                                  <a:ln w="9525" cap="flat" cmpd="sng">
                                    <a:solidFill>
                                      <a:srgbClr val="FF0000"/>
                                    </a:solidFill>
                                    <a:prstDash val="solid"/>
                                    <a:headEnd type="none" w="med" len="med"/>
                                    <a:tailEnd type="triangle" w="med" len="med"/>
                                  </a:ln>
                                </wps:spPr>
                                <wps:bodyPr/>
                              </wps:wsp>
                              <wps:wsp>
                                <wps:cNvPr id="7" name="矩形 21"/>
                                <wps:cNvSpPr/>
                                <wps:spPr>
                                  <a:xfrm>
                                    <a:off x="4386" y="9633"/>
                                    <a:ext cx="1477"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职工生活用水</w:t>
                                      </w:r>
                                    </w:p>
                                  </w:txbxContent>
                                </wps:txbx>
                                <wps:bodyPr lIns="78214" tIns="39107" rIns="78214" bIns="39107" upright="1"/>
                              </wps:wsp>
                              <wps:wsp>
                                <wps:cNvPr id="12" name="矩形 11"/>
                                <wps:cNvSpPr/>
                                <wps:spPr>
                                  <a:xfrm>
                                    <a:off x="6930" y="9502"/>
                                    <a:ext cx="628" cy="401"/>
                                  </a:xfrm>
                                  <a:prstGeom prst="rect">
                                    <a:avLst/>
                                  </a:prstGeom>
                                  <a:noFill/>
                                  <a:ln>
                                    <a:noFill/>
                                  </a:ln>
                                </wps:spPr>
                                <wps:txbx>
                                  <w:txbxContent>
                                    <w:p>
                                      <w:r>
                                        <w:rPr>
                                          <w:rFonts w:hint="eastAsia"/>
                                          <w:sz w:val="18"/>
                                        </w:rPr>
                                        <w:t>0.576</w:t>
                                      </w:r>
                                    </w:p>
                                  </w:txbxContent>
                                </wps:txbx>
                                <wps:bodyPr lIns="0" tIns="39107" rIns="0" bIns="39107" upright="1"/>
                              </wps:wsp>
                              <wps:wsp>
                                <wps:cNvPr id="13" name="直线 4"/>
                                <wps:cNvCnPr/>
                                <wps:spPr>
                                  <a:xfrm>
                                    <a:off x="3281" y="9849"/>
                                    <a:ext cx="1090" cy="1"/>
                                  </a:xfrm>
                                  <a:prstGeom prst="line">
                                    <a:avLst/>
                                  </a:prstGeom>
                                  <a:ln w="9525" cap="flat" cmpd="sng">
                                    <a:solidFill>
                                      <a:srgbClr val="FF0000"/>
                                    </a:solidFill>
                                    <a:prstDash val="solid"/>
                                    <a:headEnd type="none" w="med" len="med"/>
                                    <a:tailEnd type="triangle" w="med" len="med"/>
                                  </a:ln>
                                </wps:spPr>
                                <wps:bodyPr/>
                              </wps:wsp>
                              <wps:wsp>
                                <wps:cNvPr id="14" name="任意多边形 14"/>
                                <wps:cNvSpPr/>
                                <wps:spPr>
                                  <a:xfrm>
                                    <a:off x="4780" y="9360"/>
                                    <a:ext cx="449" cy="266"/>
                                  </a:xfrm>
                                  <a:custGeom>
                                    <a:avLst/>
                                    <a:gdLst/>
                                    <a:ahLst/>
                                    <a:cxnLst/>
                                    <a:rect l="0" t="0" r="0" b="0"/>
                                    <a:pathLst>
                                      <a:path w="630" h="468">
                                        <a:moveTo>
                                          <a:pt x="0" y="468"/>
                                        </a:moveTo>
                                        <a:cubicBezTo>
                                          <a:pt x="78" y="338"/>
                                          <a:pt x="157" y="208"/>
                                          <a:pt x="210" y="156"/>
                                        </a:cubicBezTo>
                                        <a:cubicBezTo>
                                          <a:pt x="263" y="104"/>
                                          <a:pt x="298" y="130"/>
                                          <a:pt x="315" y="156"/>
                                        </a:cubicBezTo>
                                        <a:cubicBezTo>
                                          <a:pt x="332" y="182"/>
                                          <a:pt x="262" y="338"/>
                                          <a:pt x="315" y="312"/>
                                        </a:cubicBezTo>
                                        <a:cubicBezTo>
                                          <a:pt x="368" y="286"/>
                                          <a:pt x="577" y="52"/>
                                          <a:pt x="630" y="0"/>
                                        </a:cubicBezTo>
                                      </a:path>
                                    </a:pathLst>
                                  </a:custGeom>
                                  <a:noFill/>
                                  <a:ln w="9525" cap="flat" cmpd="sng">
                                    <a:solidFill>
                                      <a:srgbClr val="000000"/>
                                    </a:solidFill>
                                    <a:prstDash val="solid"/>
                                    <a:headEnd type="none" w="med" len="med"/>
                                    <a:tailEnd type="triangle" w="med" len="med"/>
                                  </a:ln>
                                </wps:spPr>
                                <wps:bodyPr upright="1"/>
                              </wps:wsp>
                              <wps:wsp>
                                <wps:cNvPr id="16" name="矩形 15"/>
                                <wps:cNvSpPr/>
                                <wps:spPr>
                                  <a:xfrm>
                                    <a:off x="3651" y="9538"/>
                                    <a:ext cx="628" cy="401"/>
                                  </a:xfrm>
                                  <a:prstGeom prst="rect">
                                    <a:avLst/>
                                  </a:prstGeom>
                                  <a:noFill/>
                                  <a:ln>
                                    <a:noFill/>
                                  </a:ln>
                                </wps:spPr>
                                <wps:txbx>
                                  <w:txbxContent>
                                    <w:p>
                                      <w:r>
                                        <w:rPr>
                                          <w:rFonts w:hint="eastAsia"/>
                                        </w:rPr>
                                        <w:t>0.72</w:t>
                                      </w:r>
                                    </w:p>
                                  </w:txbxContent>
                                </wps:txbx>
                                <wps:bodyPr lIns="0" tIns="39107" rIns="0" bIns="39107" upright="1"/>
                              </wps:wsp>
                              <wps:wsp>
                                <wps:cNvPr id="17" name="矩形 28"/>
                                <wps:cNvSpPr/>
                                <wps:spPr>
                                  <a:xfrm>
                                    <a:off x="8768" y="9703"/>
                                    <a:ext cx="1347" cy="487"/>
                                  </a:xfrm>
                                  <a:prstGeom prst="rect">
                                    <a:avLst/>
                                  </a:prstGeom>
                                  <a:solidFill>
                                    <a:srgbClr val="FFFFFF"/>
                                  </a:solidFill>
                                  <a:ln>
                                    <a:noFill/>
                                  </a:ln>
                                </wps:spPr>
                                <wps:txbx>
                                  <w:txbxContent>
                                    <w:p>
                                      <w:pPr>
                                        <w:jc w:val="center"/>
                                        <w:rPr>
                                          <w:sz w:val="18"/>
                                        </w:rPr>
                                      </w:pPr>
                                      <w:r>
                                        <w:rPr>
                                          <w:rFonts w:hint="eastAsia"/>
                                          <w:sz w:val="18"/>
                                        </w:rPr>
                                        <w:t>洒水抑尘</w:t>
                                      </w:r>
                                    </w:p>
                                  </w:txbxContent>
                                </wps:txbx>
                                <wps:bodyPr lIns="78214" tIns="39107" rIns="78214" bIns="39107" upright="1"/>
                              </wps:wsp>
                              <wps:wsp>
                                <wps:cNvPr id="18" name="矩形 19"/>
                                <wps:cNvSpPr/>
                                <wps:spPr>
                                  <a:xfrm>
                                    <a:off x="3505" y="10344"/>
                                    <a:ext cx="628" cy="400"/>
                                  </a:xfrm>
                                  <a:prstGeom prst="rect">
                                    <a:avLst/>
                                  </a:prstGeom>
                                  <a:solidFill>
                                    <a:srgbClr val="FFFFFF"/>
                                  </a:solidFill>
                                  <a:ln>
                                    <a:noFill/>
                                  </a:ln>
                                </wps:spPr>
                                <wps:txbx>
                                  <w:txbxContent>
                                    <w:p>
                                      <w:r>
                                        <w:rPr>
                                          <w:rFonts w:hint="eastAsia"/>
                                          <w:sz w:val="18"/>
                                        </w:rPr>
                                        <w:t>1.3</w:t>
                                      </w:r>
                                    </w:p>
                                  </w:txbxContent>
                                </wps:txbx>
                                <wps:bodyPr lIns="0" tIns="39107" rIns="0" bIns="39107" upright="1"/>
                              </wps:wsp>
                              <wps:wsp>
                                <wps:cNvPr id="19" name="矩形 8"/>
                                <wps:cNvSpPr/>
                                <wps:spPr>
                                  <a:xfrm>
                                    <a:off x="4308" y="10582"/>
                                    <a:ext cx="1347"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绿化用水</w:t>
                                      </w:r>
                                    </w:p>
                                  </w:txbxContent>
                                </wps:txbx>
                                <wps:bodyPr lIns="78214" tIns="39107" rIns="78214" bIns="39107" upright="1"/>
                              </wps:wsp>
                              <wps:wsp>
                                <wps:cNvPr id="20" name="矩形 18"/>
                                <wps:cNvSpPr/>
                                <wps:spPr>
                                  <a:xfrm>
                                    <a:off x="5529" y="10080"/>
                                    <a:ext cx="628" cy="402"/>
                                  </a:xfrm>
                                  <a:prstGeom prst="rect">
                                    <a:avLst/>
                                  </a:prstGeom>
                                  <a:noFill/>
                                  <a:ln>
                                    <a:noFill/>
                                  </a:ln>
                                </wps:spPr>
                                <wps:txbx>
                                  <w:txbxContent>
                                    <w:p>
                                      <w:r>
                                        <w:rPr>
                                          <w:rFonts w:hint="eastAsia"/>
                                        </w:rPr>
                                        <w:t>1.3</w:t>
                                      </w:r>
                                    </w:p>
                                  </w:txbxContent>
                                </wps:txbx>
                                <wps:bodyPr lIns="0" tIns="39107" rIns="0" bIns="39107" upright="1"/>
                              </wps:wsp>
                              <wps:wsp>
                                <wps:cNvPr id="21" name="任意多边形 20"/>
                                <wps:cNvSpPr/>
                                <wps:spPr>
                                  <a:xfrm>
                                    <a:off x="5080" y="10336"/>
                                    <a:ext cx="449" cy="267"/>
                                  </a:xfrm>
                                  <a:custGeom>
                                    <a:avLst/>
                                    <a:gdLst/>
                                    <a:ahLst/>
                                    <a:cxnLst/>
                                    <a:rect l="0" t="0" r="0" b="0"/>
                                    <a:pathLst>
                                      <a:path w="630" h="468">
                                        <a:moveTo>
                                          <a:pt x="0" y="468"/>
                                        </a:moveTo>
                                        <a:cubicBezTo>
                                          <a:pt x="78" y="338"/>
                                          <a:pt x="157" y="208"/>
                                          <a:pt x="210" y="156"/>
                                        </a:cubicBezTo>
                                        <a:cubicBezTo>
                                          <a:pt x="263" y="104"/>
                                          <a:pt x="298" y="130"/>
                                          <a:pt x="315" y="156"/>
                                        </a:cubicBezTo>
                                        <a:cubicBezTo>
                                          <a:pt x="332" y="182"/>
                                          <a:pt x="262" y="338"/>
                                          <a:pt x="315" y="312"/>
                                        </a:cubicBezTo>
                                        <a:cubicBezTo>
                                          <a:pt x="368" y="286"/>
                                          <a:pt x="577" y="52"/>
                                          <a:pt x="630" y="0"/>
                                        </a:cubicBezTo>
                                      </a:path>
                                    </a:pathLst>
                                  </a:custGeom>
                                  <a:noFill/>
                                  <a:ln w="9525" cap="flat" cmpd="sng">
                                    <a:solidFill>
                                      <a:srgbClr val="000000"/>
                                    </a:solidFill>
                                    <a:prstDash val="solid"/>
                                    <a:headEnd type="none" w="med" len="med"/>
                                    <a:tailEnd type="triangle" w="med" len="med"/>
                                  </a:ln>
                                </wps:spPr>
                                <wps:bodyPr upright="1"/>
                              </wps:wsp>
                              <wps:wsp>
                                <wps:cNvPr id="22" name="自选图形 9"/>
                                <wps:cNvCnPr/>
                                <wps:spPr>
                                  <a:xfrm>
                                    <a:off x="3274" y="10751"/>
                                    <a:ext cx="992" cy="1"/>
                                  </a:xfrm>
                                  <a:prstGeom prst="straightConnector1">
                                    <a:avLst/>
                                  </a:prstGeom>
                                  <a:ln w="6350" cap="flat" cmpd="sng">
                                    <a:solidFill>
                                      <a:srgbClr val="FF0000"/>
                                    </a:solidFill>
                                    <a:prstDash val="solid"/>
                                    <a:headEnd type="none" w="med" len="med"/>
                                    <a:tailEnd type="triangle" w="med" len="med"/>
                                  </a:ln>
                                </wps:spPr>
                                <wps:bodyPr/>
                              </wps:wsp>
                              <wps:wsp>
                                <wps:cNvPr id="23" name="直线 6"/>
                                <wps:cNvCnPr/>
                                <wps:spPr>
                                  <a:xfrm>
                                    <a:off x="5871" y="9863"/>
                                    <a:ext cx="2886" cy="11"/>
                                  </a:xfrm>
                                  <a:prstGeom prst="line">
                                    <a:avLst/>
                                  </a:prstGeom>
                                  <a:ln w="6350" cap="flat" cmpd="sng">
                                    <a:solidFill>
                                      <a:srgbClr val="0000FF"/>
                                    </a:solidFill>
                                    <a:prstDash val="dash"/>
                                    <a:headEnd type="none" w="med" len="med"/>
                                    <a:tailEnd type="triangle" w="med" len="med"/>
                                  </a:ln>
                                </wps:spPr>
                                <wps:bodyPr/>
                              </wps:wsp>
                              <wps:wsp>
                                <wps:cNvPr id="28" name="矩形 200"/>
                                <wps:cNvSpPr/>
                                <wps:spPr>
                                  <a:xfrm>
                                    <a:off x="5250" y="9224"/>
                                    <a:ext cx="628" cy="402"/>
                                  </a:xfrm>
                                  <a:prstGeom prst="rect">
                                    <a:avLst/>
                                  </a:prstGeom>
                                  <a:noFill/>
                                  <a:ln>
                                    <a:noFill/>
                                  </a:ln>
                                </wps:spPr>
                                <wps:txbx>
                                  <w:txbxContent>
                                    <w:p>
                                      <w:pPr>
                                        <w:jc w:val="center"/>
                                        <w:rPr>
                                          <w:sz w:val="18"/>
                                        </w:rPr>
                                      </w:pPr>
                                      <w:r>
                                        <w:rPr>
                                          <w:rFonts w:hint="eastAsia"/>
                                          <w:sz w:val="18"/>
                                        </w:rPr>
                                        <w:t>0.144</w:t>
                                      </w:r>
                                    </w:p>
                                  </w:txbxContent>
                                </wps:txbx>
                                <wps:bodyPr lIns="0" tIns="39107" rIns="0" bIns="39107" upright="1"/>
                              </wps:wsp>
                              <wpg:grpSp>
                                <wpg:cNvPr id="39" name="组合 221"/>
                                <wpg:cNvGrpSpPr/>
                                <wpg:grpSpPr>
                                  <a:xfrm>
                                    <a:off x="3260" y="11303"/>
                                    <a:ext cx="3677" cy="1049"/>
                                    <a:chOff x="3274" y="11150"/>
                                    <a:chExt cx="3677" cy="1049"/>
                                  </a:xfrm>
                                </wpg:grpSpPr>
                                <wps:wsp>
                                  <wps:cNvPr id="30" name="直线 47"/>
                                  <wps:cNvCnPr/>
                                  <wps:spPr>
                                    <a:xfrm flipH="1">
                                      <a:off x="5112" y="12197"/>
                                      <a:ext cx="1673" cy="0"/>
                                    </a:xfrm>
                                    <a:prstGeom prst="line">
                                      <a:avLst/>
                                    </a:prstGeom>
                                    <a:ln w="9525" cap="flat" cmpd="sng">
                                      <a:solidFill>
                                        <a:srgbClr val="000000"/>
                                      </a:solidFill>
                                      <a:prstDash val="solid"/>
                                      <a:headEnd type="none" w="med" len="med"/>
                                      <a:tailEnd type="triangle" w="med" len="med"/>
                                    </a:ln>
                                  </wps:spPr>
                                  <wps:bodyPr/>
                                </wps:wsp>
                                <wpg:grpSp>
                                  <wpg:cNvPr id="38" name="组合 220"/>
                                  <wpg:cNvGrpSpPr/>
                                  <wpg:grpSpPr>
                                    <a:xfrm>
                                      <a:off x="3274" y="11150"/>
                                      <a:ext cx="3677" cy="1049"/>
                                      <a:chOff x="3260" y="11134"/>
                                      <a:chExt cx="3677" cy="1049"/>
                                    </a:xfrm>
                                  </wpg:grpSpPr>
                                  <wps:wsp>
                                    <wps:cNvPr id="31" name="矩形 32"/>
                                    <wps:cNvSpPr/>
                                    <wps:spPr>
                                      <a:xfrm>
                                        <a:off x="4264" y="11294"/>
                                        <a:ext cx="1461" cy="4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车辆清洗用水</w:t>
                                          </w:r>
                                        </w:p>
                                      </w:txbxContent>
                                    </wps:txbx>
                                    <wps:bodyPr upright="1"/>
                                  </wps:wsp>
                                  <wps:wsp>
                                    <wps:cNvPr id="32" name="直线 40"/>
                                    <wps:cNvCnPr/>
                                    <wps:spPr>
                                      <a:xfrm flipV="1">
                                        <a:off x="5126" y="11740"/>
                                        <a:ext cx="0" cy="443"/>
                                      </a:xfrm>
                                      <a:prstGeom prst="line">
                                        <a:avLst/>
                                      </a:prstGeom>
                                      <a:ln w="9525" cap="flat" cmpd="sng">
                                        <a:solidFill>
                                          <a:srgbClr val="000000"/>
                                        </a:solidFill>
                                        <a:prstDash val="solid"/>
                                        <a:headEnd type="none" w="med" len="med"/>
                                        <a:tailEnd type="triangle" w="med" len="med"/>
                                      </a:ln>
                                    </wps:spPr>
                                    <wps:bodyPr/>
                                  </wps:wsp>
                                  <wps:wsp>
                                    <wps:cNvPr id="33" name="矩形 35"/>
                                    <wps:cNvSpPr/>
                                    <wps:spPr>
                                      <a:xfrm>
                                        <a:off x="6034" y="11179"/>
                                        <a:ext cx="903" cy="468"/>
                                      </a:xfrm>
                                      <a:prstGeom prst="rect">
                                        <a:avLst/>
                                      </a:prstGeom>
                                      <a:noFill/>
                                      <a:ln>
                                        <a:noFill/>
                                      </a:ln>
                                    </wps:spPr>
                                    <wps:txbx>
                                      <w:txbxContent>
                                        <w:p>
                                          <w:r>
                                            <w:rPr>
                                              <w:rFonts w:hint="eastAsia"/>
                                              <w:sz w:val="18"/>
                                              <w:szCs w:val="18"/>
                                            </w:rPr>
                                            <w:t>0.96</w:t>
                                          </w:r>
                                        </w:p>
                                      </w:txbxContent>
                                    </wps:txbx>
                                    <wps:bodyPr upright="1"/>
                                  </wps:wsp>
                                  <wps:wsp>
                                    <wps:cNvPr id="34" name="直线 39"/>
                                    <wps:cNvCnPr/>
                                    <wps:spPr>
                                      <a:xfrm flipV="1">
                                        <a:off x="5746" y="11551"/>
                                        <a:ext cx="1053" cy="2"/>
                                      </a:xfrm>
                                      <a:prstGeom prst="line">
                                        <a:avLst/>
                                      </a:prstGeom>
                                      <a:ln w="9525" cap="flat" cmpd="sng">
                                        <a:solidFill>
                                          <a:srgbClr val="000000"/>
                                        </a:solidFill>
                                        <a:prstDash val="solid"/>
                                        <a:headEnd type="none" w="med" len="med"/>
                                        <a:tailEnd type="none" w="med" len="med"/>
                                      </a:ln>
                                    </wps:spPr>
                                    <wps:bodyPr/>
                                  </wps:wsp>
                                  <wps:wsp>
                                    <wps:cNvPr id="35" name="自选图形 34"/>
                                    <wps:cNvCnPr/>
                                    <wps:spPr>
                                      <a:xfrm>
                                        <a:off x="3260" y="11456"/>
                                        <a:ext cx="930" cy="0"/>
                                      </a:xfrm>
                                      <a:prstGeom prst="straightConnector1">
                                        <a:avLst/>
                                      </a:prstGeom>
                                      <a:ln w="9525" cap="flat" cmpd="sng">
                                        <a:solidFill>
                                          <a:srgbClr val="FF0000"/>
                                        </a:solidFill>
                                        <a:prstDash val="solid"/>
                                        <a:headEnd type="none" w="med" len="med"/>
                                        <a:tailEnd type="triangle" w="med" len="med"/>
                                      </a:ln>
                                    </wps:spPr>
                                    <wps:bodyPr/>
                                  </wps:wsp>
                                  <wps:wsp>
                                    <wps:cNvPr id="36" name="矩形 29"/>
                                    <wps:cNvSpPr/>
                                    <wps:spPr>
                                      <a:xfrm>
                                        <a:off x="3620" y="11134"/>
                                        <a:ext cx="453" cy="400"/>
                                      </a:xfrm>
                                      <a:prstGeom prst="rect">
                                        <a:avLst/>
                                      </a:prstGeom>
                                      <a:noFill/>
                                      <a:ln>
                                        <a:noFill/>
                                      </a:ln>
                                    </wps:spPr>
                                    <wps:txbx>
                                      <w:txbxContent>
                                        <w:p>
                                          <w:r>
                                            <w:rPr>
                                              <w:rFonts w:hint="eastAsia"/>
                                              <w:sz w:val="18"/>
                                            </w:rPr>
                                            <w:t>0.24</w:t>
                                          </w:r>
                                        </w:p>
                                      </w:txbxContent>
                                    </wps:txbx>
                                    <wps:bodyPr lIns="0" tIns="39107" rIns="0" bIns="39107" upright="1"/>
                                  </wps:wsp>
                                  <wps:wsp>
                                    <wps:cNvPr id="37" name="自选图形 218"/>
                                    <wps:cNvCnPr/>
                                    <wps:spPr>
                                      <a:xfrm>
                                        <a:off x="6778" y="11558"/>
                                        <a:ext cx="0" cy="625"/>
                                      </a:xfrm>
                                      <a:prstGeom prst="straightConnector1">
                                        <a:avLst/>
                                      </a:prstGeom>
                                      <a:ln w="9525" cap="flat" cmpd="sng">
                                        <a:solidFill>
                                          <a:srgbClr val="000000"/>
                                        </a:solidFill>
                                        <a:prstDash val="solid"/>
                                        <a:headEnd type="none" w="med" len="med"/>
                                        <a:tailEnd type="none" w="med" len="med"/>
                                      </a:ln>
                                    </wps:spPr>
                                    <wps:bodyPr/>
                                  </wps:wsp>
                                </wpg:grpSp>
                              </wpg:grpSp>
                              <wps:wsp>
                                <wps:cNvPr id="40" name="矩形 13"/>
                                <wps:cNvSpPr/>
                                <wps:spPr>
                                  <a:xfrm>
                                    <a:off x="5257" y="11040"/>
                                    <a:ext cx="628" cy="402"/>
                                  </a:xfrm>
                                  <a:prstGeom prst="rect">
                                    <a:avLst/>
                                  </a:prstGeom>
                                  <a:noFill/>
                                  <a:ln>
                                    <a:noFill/>
                                  </a:ln>
                                </wps:spPr>
                                <wps:txbx>
                                  <w:txbxContent>
                                    <w:p>
                                      <w:pPr>
                                        <w:jc w:val="center"/>
                                        <w:rPr>
                                          <w:sz w:val="18"/>
                                        </w:rPr>
                                      </w:pPr>
                                      <w:r>
                                        <w:rPr>
                                          <w:rFonts w:hint="eastAsia"/>
                                          <w:sz w:val="18"/>
                                        </w:rPr>
                                        <w:t>0.24</w:t>
                                      </w:r>
                                    </w:p>
                                  </w:txbxContent>
                                </wps:txbx>
                                <wps:bodyPr lIns="0" tIns="39107" rIns="0" bIns="39107" upright="1"/>
                              </wps:wsp>
                              <wps:wsp>
                                <wps:cNvPr id="41" name="任意多边形 223"/>
                                <wps:cNvSpPr/>
                                <wps:spPr>
                                  <a:xfrm>
                                    <a:off x="4871" y="11176"/>
                                    <a:ext cx="449" cy="266"/>
                                  </a:xfrm>
                                  <a:custGeom>
                                    <a:avLst/>
                                    <a:gdLst/>
                                    <a:ahLst/>
                                    <a:cxnLst/>
                                    <a:rect l="0" t="0" r="0" b="0"/>
                                    <a:pathLst>
                                      <a:path w="630" h="468">
                                        <a:moveTo>
                                          <a:pt x="0" y="468"/>
                                        </a:moveTo>
                                        <a:cubicBezTo>
                                          <a:pt x="78" y="338"/>
                                          <a:pt x="157" y="208"/>
                                          <a:pt x="210" y="156"/>
                                        </a:cubicBezTo>
                                        <a:cubicBezTo>
                                          <a:pt x="263" y="104"/>
                                          <a:pt x="298" y="130"/>
                                          <a:pt x="315" y="156"/>
                                        </a:cubicBezTo>
                                        <a:cubicBezTo>
                                          <a:pt x="332" y="182"/>
                                          <a:pt x="262" y="338"/>
                                          <a:pt x="315" y="312"/>
                                        </a:cubicBezTo>
                                        <a:cubicBezTo>
                                          <a:pt x="368" y="286"/>
                                          <a:pt x="577" y="52"/>
                                          <a:pt x="630" y="0"/>
                                        </a:cubicBezTo>
                                      </a:path>
                                    </a:pathLst>
                                  </a:custGeom>
                                  <a:noFill/>
                                  <a:ln w="9525" cap="flat" cmpd="sng">
                                    <a:solidFill>
                                      <a:srgbClr val="000000"/>
                                    </a:solidFill>
                                    <a:prstDash val="solid"/>
                                    <a:headEnd type="none" w="med" len="med"/>
                                    <a:tailEnd type="triangle" w="med" len="med"/>
                                  </a:ln>
                                </wps:spPr>
                                <wps:bodyPr upright="1"/>
                              </wps:wsp>
                            </wpg:grpSp>
                            <wps:wsp>
                              <wps:cNvPr id="131" name="矩形 131"/>
                              <wps:cNvSpPr/>
                              <wps:spPr>
                                <a:xfrm>
                                  <a:off x="7017" y="169894"/>
                                  <a:ext cx="1708" cy="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新鲜水85.56</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 name="直接箭头连接符 68"/>
                              <wps:cNvCnPr/>
                              <wps:spPr>
                                <a:xfrm>
                                  <a:off x="8650" y="168432"/>
                                  <a:ext cx="1016" cy="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矩形 70"/>
                              <wps:cNvSpPr/>
                              <wps:spPr>
                                <a:xfrm>
                                  <a:off x="9707" y="168267"/>
                                  <a:ext cx="1559" cy="4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生产用水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5" name="矩形 85"/>
                              <wps:cNvSpPr/>
                              <wps:spPr>
                                <a:xfrm>
                                  <a:off x="8640" y="168067"/>
                                  <a:ext cx="908" cy="4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83.3</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9" name="直接箭头连接符 109"/>
                              <wps:cNvCnPr>
                                <a:stCxn id="70" idx="3"/>
                              </wps:cNvCnPr>
                              <wps:spPr>
                                <a:xfrm flipV="1">
                                  <a:off x="11266" y="168482"/>
                                  <a:ext cx="1034" cy="2"/>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16" name="矩形 116"/>
                              <wps:cNvSpPr/>
                              <wps:spPr>
                                <a:xfrm>
                                  <a:off x="12313" y="168240"/>
                                  <a:ext cx="1441" cy="4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产品带走</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7pt;margin-top:2.15pt;height:199.8pt;width:424pt;z-index:251698176;mso-width-relative:page;mso-height-relative:page;" coordorigin="7017,168067" coordsize="8480,3996" o:gfxdata="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">
                      <o:lock v:ext="edit" aspectratio="f"/>
                      <v:group id="组合 224" o:spid="_x0000_s1026" o:spt="203" style="position:absolute;left:7547;top:168399;height:3664;width:7951;" coordorigin="2164,8688" coordsize="7951,3664"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line id="直线 17" o:spid="_x0000_s1026" o:spt="20" style="position:absolute;left:3267;top:8688;height:2945;width:0;" filled="f" stroked="t" coordsize="21600,21600" o:gfxdata="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Kfsq8AAAA&#10;2gAAAA8AAAAAAAAAAQAgAAAAIgAAAGRycy9kb3ducmV2LnhtbFBLAQIUABQAAAAIAIdO4kAzLwWe&#10;OwAAADkAAAAQAAAAAAAAAAEAIAAAAAsBAABkcnMvc2hhcGV4bWwueG1sUEsFBgAAAAAGAAYAWwEA&#10;ALUDAAAAAA==&#10;">
                          <v:fill on="f" focussize="0,0"/>
                          <v:stroke weight="0.5pt" color="#FF0000" joinstyle="round"/>
                          <v:imagedata o:title=""/>
                          <o:lock v:ext="edit" aspectratio="f"/>
                        </v:line>
                        <v:line id="直线 26" o:spid="_x0000_s1026" o:spt="20" style="position:absolute;left:2164;top:10753;flip:y;height:14;width:1095;" filled="f" stroked="t" coordsize="21600,21600" o:gfxdata="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aSkMugAAANoA&#10;AAAPAAAAAAAAAAEAIAAAACIAAABkcnMvZG93bnJldi54bWxQSwECFAAUAAAACACHTuJAMy8FnjsA&#10;AAA5AAAAEAAAAAAAAAABACAAAAAJAQAAZHJzL3NoYXBleG1sLnhtbFBLBQYAAAAABgAGAFsBAACz&#10;AwAAAAA=&#10;">
                          <v:fill on="f" focussize="0,0"/>
                          <v:stroke color="#FF0000" joinstyle="round" endarrow="block"/>
                          <v:imagedata o:title=""/>
                          <o:lock v:ext="edit" aspectratio="f"/>
                        </v:line>
                        <v:rect id="矩形 21" o:spid="_x0000_s1026" o:spt="1" style="position:absolute;left:4386;top:9633;height:391;width:1477;" fillcolor="#FFFFFF" filled="t" stroked="t" coordsize="21600,21600" o:gfxdata="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CKQgi2AAAA2g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6.15858267716535pt,3.07929133858268pt,6.15858267716535pt,3.07929133858268pt">
                            <w:txbxContent>
                              <w:p>
                                <w:pPr>
                                  <w:jc w:val="center"/>
                                  <w:rPr>
                                    <w:sz w:val="18"/>
                                  </w:rPr>
                                </w:pPr>
                                <w:r>
                                  <w:rPr>
                                    <w:rFonts w:hint="eastAsia"/>
                                    <w:sz w:val="18"/>
                                  </w:rPr>
                                  <w:t>职工生活用水</w:t>
                                </w:r>
                              </w:p>
                            </w:txbxContent>
                          </v:textbox>
                        </v:rect>
                        <v:rect id="矩形 11" o:spid="_x0000_s1026" o:spt="1" style="position:absolute;left:6930;top:9502;height:401;width:628;" filled="f" stroked="f" coordsize="21600,21600" o:gfxdata="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grkrsAAADb&#10;AAAADwAAAAAAAAABACAAAAAiAAAAZHJzL2Rvd25yZXYueG1sUEsBAhQAFAAAAAgAh07iQDMvBZ47&#10;AAAAOQAAABAAAAAAAAAAAQAgAAAACgEAAGRycy9zaGFwZXhtbC54bWxQSwUGAAAAAAYABgBbAQAA&#10;tAMAAAAA&#10;">
                          <v:fill on="f" focussize="0,0"/>
                          <v:stroke on="f"/>
                          <v:imagedata o:title=""/>
                          <o:lock v:ext="edit" aspectratio="f"/>
                          <v:textbox inset="0mm,3.07929133858268pt,0mm,3.07929133858268pt">
                            <w:txbxContent>
                              <w:p>
                                <w:r>
                                  <w:rPr>
                                    <w:rFonts w:hint="eastAsia"/>
                                    <w:sz w:val="18"/>
                                  </w:rPr>
                                  <w:t>0.576</w:t>
                                </w:r>
                              </w:p>
                            </w:txbxContent>
                          </v:textbox>
                        </v:rect>
                        <v:line id="直线 4" o:spid="_x0000_s1026" o:spt="20" style="position:absolute;left:3281;top:9849;height:1;width:1090;" filled="f" stroked="t" coordsize="21600,21600" o:gfxdata="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6JLsAAADb&#10;AAAADwAAAAAAAAABACAAAAAiAAAAZHJzL2Rvd25yZXYueG1sUEsBAhQAFAAAAAgAh07iQDMvBZ47&#10;AAAAOQAAABAAAAAAAAAAAQAgAAAACgEAAGRycy9zaGFwZXhtbC54bWxQSwUGAAAAAAYABgBbAQAA&#10;tAMAAAAA&#10;">
                          <v:fill on="f" focussize="0,0"/>
                          <v:stroke color="#FF0000" joinstyle="round" endarrow="block"/>
                          <v:imagedata o:title=""/>
                          <o:lock v:ext="edit" aspectratio="f"/>
                        </v:line>
                        <v:shape id="_x0000_s1026" o:spid="_x0000_s1026" o:spt="100" style="position:absolute;left:4780;top:9360;height:266;width:449;" filled="f" stroked="t" coordsize="630,468" o:gfxdata="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yrvGvQAA&#10;ANsAAAAPAAAAAAAAAAEAIAAAACIAAABkcnMvZG93bnJldi54bWxQSwECFAAUAAAACACHTuJAMy8F&#10;njsAAAA5AAAAEAAAAAAAAAABACAAAAAMAQAAZHJzL3NoYXBleG1sLnhtbFBLBQYAAAAABgAGAFsB&#10;AAC2AwAAAAA=&#10;" path="m0,468c78,338,157,208,210,156c263,104,298,130,315,156c332,182,262,338,315,312c368,286,577,52,630,0e">
                          <v:fill on="f" focussize="0,0"/>
                          <v:stroke color="#000000" joinstyle="round" endarrow="block"/>
                          <v:imagedata o:title=""/>
                          <o:lock v:ext="edit" aspectratio="f"/>
                        </v:shape>
                        <v:rect id="矩形 15" o:spid="_x0000_s1026" o:spt="1" style="position:absolute;left:3651;top:9538;height:401;width:628;" filled="f" stroked="f" coordsize="21600,21600" o:gfxdata="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0y2RugAAANsA&#10;AAAPAAAAAAAAAAEAIAAAACIAAABkcnMvZG93bnJldi54bWxQSwECFAAUAAAACACHTuJAMy8FnjsA&#10;AAA5AAAAEAAAAAAAAAABACAAAAAJAQAAZHJzL3NoYXBleG1sLnhtbFBLBQYAAAAABgAGAFsBAACz&#10;AwAAAAA=&#10;">
                          <v:fill on="f" focussize="0,0"/>
                          <v:stroke on="f"/>
                          <v:imagedata o:title=""/>
                          <o:lock v:ext="edit" aspectratio="f"/>
                          <v:textbox inset="0mm,3.07929133858268pt,0mm,3.07929133858268pt">
                            <w:txbxContent>
                              <w:p>
                                <w:r>
                                  <w:rPr>
                                    <w:rFonts w:hint="eastAsia"/>
                                  </w:rPr>
                                  <w:t>0.72</w:t>
                                </w:r>
                              </w:p>
                            </w:txbxContent>
                          </v:textbox>
                        </v:rect>
                        <v:rect id="矩形 28" o:spid="_x0000_s1026" o:spt="1" style="position:absolute;left:8768;top:9703;height:487;width:1347;" fillcolor="#FFFFFF" filled="t" stroked="f" coordsize="21600,21600" o:gfxdata="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r5B2ugAAANsA&#10;AAAPAAAAAAAAAAEAIAAAACIAAABkcnMvZG93bnJldi54bWxQSwECFAAUAAAACACHTuJAMy8FnjsA&#10;AAA5AAAAEAAAAAAAAAABACAAAAAJAQAAZHJzL3NoYXBleG1sLnhtbFBLBQYAAAAABgAGAFsBAACz&#10;AwAAAAA=&#10;">
                          <v:fill on="t" focussize="0,0"/>
                          <v:stroke on="f"/>
                          <v:imagedata o:title=""/>
                          <o:lock v:ext="edit" aspectratio="f"/>
                          <v:textbox inset="6.15858267716535pt,3.07929133858268pt,6.15858267716535pt,3.07929133858268pt">
                            <w:txbxContent>
                              <w:p>
                                <w:pPr>
                                  <w:jc w:val="center"/>
                                  <w:rPr>
                                    <w:sz w:val="18"/>
                                  </w:rPr>
                                </w:pPr>
                                <w:r>
                                  <w:rPr>
                                    <w:rFonts w:hint="eastAsia"/>
                                    <w:sz w:val="18"/>
                                  </w:rPr>
                                  <w:t>洒水抑尘</w:t>
                                </w:r>
                              </w:p>
                            </w:txbxContent>
                          </v:textbox>
                        </v:rect>
                        <v:rect id="矩形 19" o:spid="_x0000_s1026" o:spt="1" style="position:absolute;left:3505;top:10344;height:400;width:628;" fillcolor="#FFFFFF" filled="t" stroked="f" coordsize="21600,21600" o:gfxdata="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cFb74A&#10;AADbAAAADwAAAAAAAAABACAAAAAiAAAAZHJzL2Rvd25yZXYueG1sUEsBAhQAFAAAAAgAh07iQDMv&#10;BZ47AAAAOQAAABAAAAAAAAAAAQAgAAAADQEAAGRycy9zaGFwZXhtbC54bWxQSwUGAAAAAAYABgBb&#10;AQAAtwMAAAAA&#10;">
                          <v:fill on="t" focussize="0,0"/>
                          <v:stroke on="f"/>
                          <v:imagedata o:title=""/>
                          <o:lock v:ext="edit" aspectratio="f"/>
                          <v:textbox inset="0mm,3.07929133858268pt,0mm,3.07929133858268pt">
                            <w:txbxContent>
                              <w:p>
                                <w:r>
                                  <w:rPr>
                                    <w:rFonts w:hint="eastAsia"/>
                                    <w:sz w:val="18"/>
                                  </w:rPr>
                                  <w:t>1.3</w:t>
                                </w:r>
                              </w:p>
                            </w:txbxContent>
                          </v:textbox>
                        </v:rect>
                        <v:rect id="矩形 8" o:spid="_x0000_s1026" o:spt="1" style="position:absolute;left:4308;top:10582;height:391;width:1347;" fillcolor="#FFFFFF" filled="t" stroked="t" coordsize="21600,21600" o:gfxdata="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TnrvtAAAANsAAAAPAAAA&#10;AAAAAAEAIAAAACIAAABkcnMvZG93bnJldi54bWxQSwECFAAUAAAACACHTuJAMy8FnjsAAAA5AAAA&#10;EAAAAAAAAAABACAAAAADAQAAZHJzL3NoYXBleG1sLnhtbFBLBQYAAAAABgAGAFsBAACtAwAAAAA=&#10;">
                          <v:fill on="t" focussize="0,0"/>
                          <v:stroke color="#000000" joinstyle="miter"/>
                          <v:imagedata o:title=""/>
                          <o:lock v:ext="edit" aspectratio="f"/>
                          <v:textbox inset="6.15858267716535pt,3.07929133858268pt,6.15858267716535pt,3.07929133858268pt">
                            <w:txbxContent>
                              <w:p>
                                <w:pPr>
                                  <w:jc w:val="center"/>
                                  <w:rPr>
                                    <w:sz w:val="18"/>
                                  </w:rPr>
                                </w:pPr>
                                <w:r>
                                  <w:rPr>
                                    <w:rFonts w:hint="eastAsia"/>
                                    <w:sz w:val="18"/>
                                  </w:rPr>
                                  <w:t>绿化用水</w:t>
                                </w:r>
                              </w:p>
                            </w:txbxContent>
                          </v:textbox>
                        </v:rect>
                        <v:rect id="矩形 18" o:spid="_x0000_s1026" o:spt="1" style="position:absolute;left:5529;top:10080;height:402;width:628;" filled="f" stroked="f" coordsize="21600,21600" o:gfxdata="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0a2sO5AAAA2wAA&#10;AA8AAAAAAAAAAQAgAAAAIgAAAGRycy9kb3ducmV2LnhtbFBLAQIUABQAAAAIAIdO4kAzLwWeOwAA&#10;ADkAAAAQAAAAAAAAAAEAIAAAAAgBAABkcnMvc2hhcGV4bWwueG1sUEsFBgAAAAAGAAYAWwEAALID&#10;AAAAAA==&#10;">
                          <v:fill on="f" focussize="0,0"/>
                          <v:stroke on="f"/>
                          <v:imagedata o:title=""/>
                          <o:lock v:ext="edit" aspectratio="f"/>
                          <v:textbox inset="0mm,3.07929133858268pt,0mm,3.07929133858268pt">
                            <w:txbxContent>
                              <w:p>
                                <w:r>
                                  <w:rPr>
                                    <w:rFonts w:hint="eastAsia"/>
                                  </w:rPr>
                                  <w:t>1.3</w:t>
                                </w:r>
                              </w:p>
                            </w:txbxContent>
                          </v:textbox>
                        </v:rect>
                        <v:shape id="任意多边形 20" o:spid="_x0000_s1026" o:spt="100" style="position:absolute;left:5080;top:10336;height:267;width:449;" filled="f" stroked="t" coordsize="630,468" o:gfxdata="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tHS474A&#10;AADbAAAADwAAAAAAAAABACAAAAAiAAAAZHJzL2Rvd25yZXYueG1sUEsBAhQAFAAAAAgAh07iQDMv&#10;BZ47AAAAOQAAABAAAAAAAAAAAQAgAAAADQEAAGRycy9zaGFwZXhtbC54bWxQSwUGAAAAAAYABgBb&#10;AQAAtwMAAAAA&#10;" path="m0,468c78,338,157,208,210,156c263,104,298,130,315,156c332,182,262,338,315,312c368,286,577,52,630,0e">
                          <v:fill on="f" focussize="0,0"/>
                          <v:stroke color="#000000" joinstyle="round" endarrow="block"/>
                          <v:imagedata o:title=""/>
                          <o:lock v:ext="edit" aspectratio="f"/>
                        </v:shape>
                        <v:shape id="自选图形 9" o:spid="_x0000_s1026" o:spt="32" type="#_x0000_t32" style="position:absolute;left:3274;top:10751;height:1;width:992;" filled="f" stroked="t" coordsize="21600,21600" o:gfxdata="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T4bq/&#10;AAAA2wAAAA8AAAAAAAAAAQAgAAAAIgAAAGRycy9kb3ducmV2LnhtbFBLAQIUABQAAAAIAIdO4kAz&#10;LwWeOwAAADkAAAAQAAAAAAAAAAEAIAAAAA4BAABkcnMvc2hhcGV4bWwueG1sUEsFBgAAAAAGAAYA&#10;WwEAALgDAAAAAA==&#10;">
                          <v:fill on="f" focussize="0,0"/>
                          <v:stroke weight="0.5pt" color="#FF0000" joinstyle="round" endarrow="block"/>
                          <v:imagedata o:title=""/>
                          <o:lock v:ext="edit" aspectratio="f"/>
                        </v:shape>
                        <v:line id="直线 6" o:spid="_x0000_s1026" o:spt="20" style="position:absolute;left:5871;top:9863;height:11;width:2886;" filled="f" stroked="t" coordsize="21600,21600" o:gfxdata="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xYqTvQAA&#10;ANsAAAAPAAAAAAAAAAEAIAAAACIAAABkcnMvZG93bnJldi54bWxQSwECFAAUAAAACACHTuJAMy8F&#10;njsAAAA5AAAAEAAAAAAAAAABACAAAAAMAQAAZHJzL3NoYXBleG1sLnhtbFBLBQYAAAAABgAGAFsB&#10;AAC2AwAAAAA=&#10;">
                          <v:fill on="f" focussize="0,0"/>
                          <v:stroke weight="0.5pt" color="#0000FF" joinstyle="round" dashstyle="dash" endarrow="block"/>
                          <v:imagedata o:title=""/>
                          <o:lock v:ext="edit" aspectratio="f"/>
                        </v:line>
                        <v:rect id="矩形 200" o:spid="_x0000_s1026" o:spt="1" style="position:absolute;left:5250;top:9224;height:402;width:628;" filled="f" stroked="f" coordsize="21600,21600" o:gfxdata="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s1sW5AAAA2wAA&#10;AA8AAAAAAAAAAQAgAAAAIgAAAGRycy9kb3ducmV2LnhtbFBLAQIUABQAAAAIAIdO4kAzLwWeOwAA&#10;ADkAAAAQAAAAAAAAAAEAIAAAAAgBAABkcnMvc2hhcGV4bWwueG1sUEsFBgAAAAAGAAYAWwEAALID&#10;AAAAAA==&#10;">
                          <v:fill on="f" focussize="0,0"/>
                          <v:stroke on="f"/>
                          <v:imagedata o:title=""/>
                          <o:lock v:ext="edit" aspectratio="f"/>
                          <v:textbox inset="0mm,3.07929133858268pt,0mm,3.07929133858268pt">
                            <w:txbxContent>
                              <w:p>
                                <w:pPr>
                                  <w:jc w:val="center"/>
                                  <w:rPr>
                                    <w:sz w:val="18"/>
                                  </w:rPr>
                                </w:pPr>
                                <w:r>
                                  <w:rPr>
                                    <w:rFonts w:hint="eastAsia"/>
                                    <w:sz w:val="18"/>
                                  </w:rPr>
                                  <w:t>0.144</w:t>
                                </w:r>
                              </w:p>
                            </w:txbxContent>
                          </v:textbox>
                        </v:rect>
                        <v:group id="组合 221" o:spid="_x0000_s1026" o:spt="203" style="position:absolute;left:3260;top:11303;height:1049;width:3677;" coordorigin="3274,11150" coordsize="3677,1049"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line id="直线 47" o:spid="_x0000_s1026" o:spt="20" style="position:absolute;left:5112;top:12197;flip:x;height:0;width:1673;" filled="f" stroked="t" coordsize="21600,21600" o:gfxdata="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hh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id="组合 220" o:spid="_x0000_s1026" o:spt="203" style="position:absolute;left:3274;top:11150;height:1049;width:3677;" coordorigin="3260,11134" coordsize="3677,1049"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rect id="矩形 32" o:spid="_x0000_s1026" o:spt="1" style="position:absolute;left:4264;top:11294;height:453;width:1461;" fillcolor="#FFFFFF" filled="t" stroked="t" coordsize="21600,21600" o:gfxdata="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l52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 w:val="18"/>
                                        <w:szCs w:val="18"/>
                                      </w:rPr>
                                    </w:pPr>
                                    <w:r>
                                      <w:rPr>
                                        <w:rFonts w:hint="eastAsia"/>
                                        <w:sz w:val="18"/>
                                        <w:szCs w:val="18"/>
                                      </w:rPr>
                                      <w:t>车辆清洗用水</w:t>
                                    </w:r>
                                  </w:p>
                                </w:txbxContent>
                              </v:textbox>
                            </v:rect>
                            <v:line id="直线 40" o:spid="_x0000_s1026" o:spt="20" style="position:absolute;left:5126;top:11740;flip:y;height:443;width:0;" filled="f" stroked="t" coordsize="21600,21600" o:gfxdata="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Zvf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35" o:spid="_x0000_s1026" o:spt="1" style="position:absolute;left:6034;top:11179;height:468;width:903;" filled="f" stroked="f" coordsize="21600,21600"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sz w:val="18"/>
                                        <w:szCs w:val="18"/>
                                      </w:rPr>
                                      <w:t>0.96</w:t>
                                    </w:r>
                                  </w:p>
                                </w:txbxContent>
                              </v:textbox>
                            </v:rect>
                            <v:line id="直线 39" o:spid="_x0000_s1026" o:spt="20" style="position:absolute;left:5746;top:11551;flip:y;height:2;width:1053;"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自选图形 34" o:spid="_x0000_s1026" o:spt="32" type="#_x0000_t32" style="position:absolute;left:3260;top:11456;height:0;width:930;" filled="f" stroked="t" coordsize="21600,21600" o:gfxdata="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rlqy/&#10;AAAA2wAAAA8AAAAAAAAAAQAgAAAAIgAAAGRycy9kb3ducmV2LnhtbFBLAQIUABQAAAAIAIdO4kAz&#10;LwWeOwAAADkAAAAQAAAAAAAAAAEAIAAAAA4BAABkcnMvc2hhcGV4bWwueG1sUEsFBgAAAAAGAAYA&#10;WwEAALgDAAAAAA==&#10;">
                              <v:fill on="f" focussize="0,0"/>
                              <v:stroke color="#FF0000" joinstyle="round" endarrow="block"/>
                              <v:imagedata o:title=""/>
                              <o:lock v:ext="edit" aspectratio="f"/>
                            </v:shape>
                            <v:rect id="矩形 29" o:spid="_x0000_s1026" o:spt="1" style="position:absolute;left:3620;top:11134;height:400;width:453;" filled="f" stroked="f" coordsize="21600,21600" o:gfxdata="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ZnHxvQAA&#10;ANsAAAAPAAAAAAAAAAEAIAAAACIAAABkcnMvZG93bnJldi54bWxQSwECFAAUAAAACACHTuJAMy8F&#10;njsAAAA5AAAAEAAAAAAAAAABACAAAAAMAQAAZHJzL3NoYXBleG1sLnhtbFBLBQYAAAAABgAGAFsB&#10;AAC2AwAAAAA=&#10;">
                              <v:fill on="f" focussize="0,0"/>
                              <v:stroke on="f"/>
                              <v:imagedata o:title=""/>
                              <o:lock v:ext="edit" aspectratio="f"/>
                              <v:textbox inset="0mm,3.07929133858268pt,0mm,3.07929133858268pt">
                                <w:txbxContent>
                                  <w:p>
                                    <w:r>
                                      <w:rPr>
                                        <w:rFonts w:hint="eastAsia"/>
                                        <w:sz w:val="18"/>
                                      </w:rPr>
                                      <w:t>0.24</w:t>
                                    </w:r>
                                  </w:p>
                                </w:txbxContent>
                              </v:textbox>
                            </v:rect>
                            <v:shape id="自选图形 218" o:spid="_x0000_s1026" o:spt="32" type="#_x0000_t32" style="position:absolute;left:6778;top:11558;height:625;width:0;" filled="f" stroked="t" coordsize="21600,21600" o:gfxdata="UEsDBAoAAAAAAIdO4kAAAAAAAAAAAAAAAAAEAAAAZHJzL1BLAwQUAAAACACHTuJAiBQSdLwAAADb&#10;AAAADwAAAGRycy9kb3ducmV2LnhtbEWPT4vCMBTE78J+h/AEL6JJF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UE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v:rect id="矩形 13" o:spid="_x0000_s1026" o:spt="1" style="position:absolute;left:5257;top:11040;height:402;width:628;" filled="f" stroked="f" coordsize="21600,21600" o:gfxdata="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DFP2O5AAAA2wAA&#10;AA8AAAAAAAAAAQAgAAAAIgAAAGRycy9kb3ducmV2LnhtbFBLAQIUABQAAAAIAIdO4kAzLwWeOwAA&#10;ADkAAAAQAAAAAAAAAAEAIAAAAAgBAABkcnMvc2hhcGV4bWwueG1sUEsFBgAAAAAGAAYAWwEAALID&#10;AAAAAA==&#10;">
                          <v:fill on="f" focussize="0,0"/>
                          <v:stroke on="f"/>
                          <v:imagedata o:title=""/>
                          <o:lock v:ext="edit" aspectratio="f"/>
                          <v:textbox inset="0mm,3.07929133858268pt,0mm,3.07929133858268pt">
                            <w:txbxContent>
                              <w:p>
                                <w:pPr>
                                  <w:jc w:val="center"/>
                                  <w:rPr>
                                    <w:sz w:val="18"/>
                                  </w:rPr>
                                </w:pPr>
                                <w:r>
                                  <w:rPr>
                                    <w:rFonts w:hint="eastAsia"/>
                                    <w:sz w:val="18"/>
                                  </w:rPr>
                                  <w:t>0.24</w:t>
                                </w:r>
                              </w:p>
                            </w:txbxContent>
                          </v:textbox>
                        </v:rect>
                        <v:shape id="任意多边形 223" o:spid="_x0000_s1026" o:spt="100" style="position:absolute;left:4871;top:11176;height:266;width:449;" filled="f" stroked="t" coordsize="630,468" o:gfxdata="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w43Q74A&#10;AADbAAAADwAAAAAAAAABACAAAAAiAAAAZHJzL2Rvd25yZXYueG1sUEsBAhQAFAAAAAgAh07iQDMv&#10;BZ47AAAAOQAAABAAAAAAAAAAAQAgAAAADQEAAGRycy9zaGFwZXhtbC54bWxQSwUGAAAAAAYABgBb&#10;AQAAtwMAAAAA&#10;" path="m0,468c78,338,157,208,210,156c263,104,298,130,315,156c332,182,262,338,315,312c368,286,577,52,630,0e">
                          <v:fill on="f" focussize="0,0"/>
                          <v:stroke color="#000000" joinstyle="round" endarrow="block"/>
                          <v:imagedata o:title=""/>
                          <o:lock v:ext="edit" aspectratio="f"/>
                        </v:shape>
                      </v:group>
                      <v:rect id="_x0000_s1026" o:spid="_x0000_s1026" o:spt="1" style="position:absolute;left:7017;top:169894;height:600;width:1708;v-text-anchor:middle;" filled="f" stroked="f" coordsize="21600,21600" o:gfxdata="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gTQi8AAAA&#10;3AAAAA8AAAAAAAAAAQAgAAAAIgAAAGRycy9kb3ducmV2LnhtbFBLAQIUABQAAAAIAIdO4kAzLwWe&#10;OwAAADkAAAAQAAAAAAAAAAEAIAAAAAsBAABkcnMvc2hhcGV4bWwueG1sUEsFBgAAAAAGAAYAWwEA&#10;ALUDAAAAAA==&#10;">
                        <v:fill on="f" focussize="0,0"/>
                        <v:stroke on="f" weight="2pt"/>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新鲜水85.56</w:t>
                              </w:r>
                            </w:p>
                          </w:txbxContent>
                        </v:textbox>
                      </v:rect>
                      <v:shape id="_x0000_s1026" o:spid="_x0000_s1026" o:spt="32" type="#_x0000_t32" style="position:absolute;left:8650;top:168432;height:0;width:1016;" filled="f" stroked="t" coordsize="21600,21600" o:gfxdata="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E3V2twAAANsAAAAP&#10;AAAAAAAAAAEAIAAAACIAAABkcnMvZG93bnJldi54bWxQSwECFAAUAAAACACHTuJAMy8FnjsAAAA5&#10;AAAAEAAAAAAAAAABACAAAAAGAQAAZHJzL3NoYXBleG1sLnhtbFBLBQYAAAAABgAGAFsBAACwAwAA&#10;AAA=&#10;">
                        <v:fill on="f" focussize="0,0"/>
                        <v:stroke color="#C00000 [3204]" joinstyle="round" endarrow="open"/>
                        <v:imagedata o:title=""/>
                        <o:lock v:ext="edit" aspectratio="f"/>
                      </v:shape>
                      <v:rect id="_x0000_s1026" o:spid="_x0000_s1026" o:spt="1" style="position:absolute;left:9707;top:168267;height:433;width:1559;v-text-anchor:middle;" filled="f" stroked="t" coordsize="21600,21600" o:gfxdata="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idYW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生产用水</w:t>
                              </w:r>
                            </w:p>
                          </w:txbxContent>
                        </v:textbox>
                      </v:rect>
                      <v:rect id="_x0000_s1026" o:spid="_x0000_s1026" o:spt="1" style="position:absolute;left:8640;top:168067;height:468;width:908;v-text-anchor:middle;" filled="f" stroked="f" coordsize="21600,21600" o:gfxdata="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5ZXursAAADb&#10;AAAADwAAAAAAAAABACAAAAAiAAAAZHJzL2Rvd25yZXYueG1sUEsBAhQAFAAAAAgAh07iQDMvBZ47&#10;AAAAOQAAABAAAAAAAAAAAQAgAAAACgEAAGRycy9zaGFwZXhtbC54bWxQSwUGAAAAAAYABgBbAQAA&#10;tAMAAAAA&#10;">
                        <v:fill on="f" focussize="0,0"/>
                        <v:stroke on="f" weight="2pt"/>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83.3</w:t>
                              </w:r>
                            </w:p>
                          </w:txbxContent>
                        </v:textbox>
                      </v:rect>
                      <v:shape id="_x0000_s1026" o:spid="_x0000_s1026" o:spt="32" type="#_x0000_t32" style="position:absolute;left:11266;top:168482;flip:y;height:2;width:1034;" filled="f" stroked="t" coordsize="21600,21600" o:gfxdata="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tgIrsAAADc&#10;AAAADwAAAAAAAAABACAAAAAiAAAAZHJzL2Rvd25yZXYueG1sUEsBAhQAFAAAAAgAh07iQDMvBZ47&#10;AAAAOQAAABAAAAAAAAAAAQAgAAAACgEAAGRycy9zaGFwZXhtbC54bWxQSwUGAAAAAAYABgBbAQAA&#10;tAMAAAAA&#10;">
                        <v:fill on="f" focussize="0,0"/>
                        <v:stroke color="#4A7EBB [3204]" joinstyle="round" dashstyle="dash" endarrow="open"/>
                        <v:imagedata o:title=""/>
                        <o:lock v:ext="edit" aspectratio="f"/>
                      </v:shape>
                      <v:rect id="_x0000_s1026" o:spid="_x0000_s1026" o:spt="1" style="position:absolute;left:12313;top:168240;height:468;width:1441;v-text-anchor:middle;" filled="f" stroked="f" coordsize="21600,21600" o:gfxdata="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fIkcugAAANwA&#10;AAAPAAAAAAAAAAEAIAAAACIAAABkcnMvZG93bnJldi54bWxQSwECFAAUAAAACACHTuJAMy8FnjsA&#10;AAA5AAAAEAAAAAAAAAABACAAAAAJAQAAZHJzL3NoYXBleG1sLnhtbFBLBQYAAAAABgAGAFsBAACz&#10;AwAAAAA=&#10;">
                        <v:fill on="f" focussize="0,0"/>
                        <v:stroke on="f" weight="2pt"/>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产品带走</w:t>
                              </w:r>
                            </w:p>
                          </w:txbxContent>
                        </v:textbox>
                      </v:rect>
                    </v:group>
                  </w:pict>
                </mc:Fallback>
              </mc:AlternateContent>
            </w:r>
          </w:p>
          <w:p/>
          <w:p>
            <w:pPr>
              <w:spacing w:line="480" w:lineRule="exact"/>
              <w:jc w:val="center"/>
              <w:rPr>
                <w:b/>
                <w:color w:val="000000" w:themeColor="text1"/>
                <w:sz w:val="24"/>
                <w14:textFill>
                  <w14:solidFill>
                    <w14:schemeClr w14:val="tx1"/>
                  </w14:solidFill>
                </w14:textFill>
              </w:rPr>
            </w:pPr>
          </w:p>
          <w:p>
            <w:pPr>
              <w:spacing w:line="480" w:lineRule="exact"/>
              <w:jc w:val="center"/>
              <w:rPr>
                <w:b/>
                <w:color w:val="000000" w:themeColor="text1"/>
                <w:sz w:val="24"/>
                <w14:textFill>
                  <w14:solidFill>
                    <w14:schemeClr w14:val="tx1"/>
                  </w14:solidFill>
                </w14:textFill>
              </w:rPr>
            </w:pPr>
          </w:p>
          <w:p>
            <w:pPr>
              <w:pStyle w:val="31"/>
              <w:ind w:firstLine="482"/>
              <w:rPr>
                <w:b/>
                <w:color w:val="000000" w:themeColor="text1"/>
                <w:sz w:val="24"/>
                <w14:textFill>
                  <w14:solidFill>
                    <w14:schemeClr w14:val="tx1"/>
                  </w14:solidFill>
                </w14:textFill>
              </w:rPr>
            </w:pPr>
          </w:p>
          <w:p/>
          <w:p>
            <w:pPr>
              <w:spacing w:line="480" w:lineRule="exact"/>
              <w:jc w:val="center"/>
              <w:rPr>
                <w:b/>
                <w:color w:val="000000" w:themeColor="text1"/>
                <w:sz w:val="24"/>
                <w14:textFill>
                  <w14:solidFill>
                    <w14:schemeClr w14:val="tx1"/>
                  </w14:solidFill>
                </w14:textFill>
              </w:rPr>
            </w:pPr>
          </w:p>
          <w:p>
            <w:pPr>
              <w:spacing w:line="480" w:lineRule="exact"/>
              <w:jc w:val="center"/>
              <w:rPr>
                <w:b/>
                <w:color w:val="000000" w:themeColor="text1"/>
                <w:sz w:val="24"/>
                <w14:textFill>
                  <w14:solidFill>
                    <w14:schemeClr w14:val="tx1"/>
                  </w14:solidFill>
                </w14:textFill>
              </w:rPr>
            </w:pPr>
          </w:p>
          <w:p>
            <w:pPr>
              <w:spacing w:line="480" w:lineRule="exact"/>
              <w:jc w:val="center"/>
              <w:rPr>
                <w:b/>
                <w:color w:val="000000" w:themeColor="text1"/>
                <w:sz w:val="24"/>
                <w14:textFill>
                  <w14:solidFill>
                    <w14:schemeClr w14:val="tx1"/>
                  </w14:solidFill>
                </w14:textFill>
              </w:rPr>
            </w:pPr>
          </w:p>
          <w:p>
            <w:pPr>
              <w:spacing w:line="48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图</w:t>
            </w:r>
            <w:r>
              <w:rPr>
                <w:rFonts w:hint="eastAsia"/>
                <w:b/>
                <w:color w:val="000000" w:themeColor="text1"/>
                <w:sz w:val="24"/>
                <w14:textFill>
                  <w14:solidFill>
                    <w14:schemeClr w14:val="tx1"/>
                  </w14:solidFill>
                </w14:textFill>
              </w:rPr>
              <w:t>1-1</w:t>
            </w:r>
            <w:r>
              <w:rPr>
                <w:b/>
                <w:color w:val="000000" w:themeColor="text1"/>
                <w:sz w:val="24"/>
                <w14:textFill>
                  <w14:solidFill>
                    <w14:schemeClr w14:val="tx1"/>
                  </w14:solidFill>
                </w14:textFill>
              </w:rPr>
              <w:t xml:space="preserve">  项目水平衡分析（m</w:t>
            </w:r>
            <w:r>
              <w:rPr>
                <w:b/>
                <w:color w:val="000000" w:themeColor="text1"/>
                <w:sz w:val="24"/>
                <w:vertAlign w:val="superscript"/>
                <w14:textFill>
                  <w14:solidFill>
                    <w14:schemeClr w14:val="tx1"/>
                  </w14:solidFill>
                </w14:textFill>
              </w:rPr>
              <w:t>3</w:t>
            </w:r>
            <w:r>
              <w:rPr>
                <w:b/>
                <w:color w:val="000000" w:themeColor="text1"/>
                <w:sz w:val="24"/>
                <w14:textFill>
                  <w14:solidFill>
                    <w14:schemeClr w14:val="tx1"/>
                  </w14:solidFill>
                </w14:textFill>
              </w:rPr>
              <w:t>/d）</w:t>
            </w:r>
          </w:p>
          <w:p>
            <w:pPr>
              <w:pStyle w:val="31"/>
              <w:ind w:firstLine="482"/>
            </w:pPr>
            <w:r>
              <w:rPr>
                <w:rFonts w:hint="eastAsia"/>
                <w:b/>
                <w:color w:val="000000" w:themeColor="text1"/>
                <w:sz w:val="24"/>
                <w14:textFill>
                  <w14:solidFill>
                    <w14:schemeClr w14:val="tx1"/>
                  </w14:solidFill>
                </w14:textFill>
              </w:rPr>
              <w:t>注：供暖期无绿化用水。</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5.2</w:t>
            </w:r>
            <w:r>
              <w:rPr>
                <w:rFonts w:eastAsia="黑体"/>
                <w:color w:val="000000" w:themeColor="text1"/>
                <w:sz w:val="24"/>
                <w14:textFill>
                  <w14:solidFill>
                    <w14:schemeClr w14:val="tx1"/>
                  </w14:solidFill>
                </w14:textFill>
              </w:rPr>
              <w:t>供热</w:t>
            </w:r>
          </w:p>
          <w:p>
            <w:pPr>
              <w:spacing w:line="48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本项目冬季办公区采暖使用电采暖，生产区不供暖。</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5.3</w:t>
            </w:r>
            <w:r>
              <w:rPr>
                <w:rFonts w:eastAsia="黑体"/>
                <w:color w:val="000000" w:themeColor="text1"/>
                <w:sz w:val="24"/>
                <w14:textFill>
                  <w14:solidFill>
                    <w14:schemeClr w14:val="tx1"/>
                  </w14:solidFill>
                </w14:textFill>
              </w:rPr>
              <w:t>供电</w:t>
            </w:r>
          </w:p>
          <w:p>
            <w:pPr>
              <w:snapToGrid w:val="0"/>
              <w:spacing w:line="480" w:lineRule="exac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w:t>
            </w:r>
            <w:r>
              <w:rPr>
                <w:bCs/>
                <w:color w:val="000000" w:themeColor="text1"/>
                <w:sz w:val="24"/>
                <w14:textFill>
                  <w14:solidFill>
                    <w14:schemeClr w14:val="tx1"/>
                  </w14:solidFill>
                </w14:textFill>
              </w:rPr>
              <w:t>电源引</w:t>
            </w:r>
            <w:r>
              <w:rPr>
                <w:rFonts w:hint="eastAsia"/>
                <w:bCs/>
                <w:color w:val="000000" w:themeColor="text1"/>
                <w:sz w:val="24"/>
                <w14:textFill>
                  <w14:solidFill>
                    <w14:schemeClr w14:val="tx1"/>
                  </w14:solidFill>
                </w14:textFill>
              </w:rPr>
              <w:t>自前石湖村村变电站</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厂区安装250KVA变压器一台，可满足本工程需要</w:t>
            </w:r>
            <w:r>
              <w:rPr>
                <w:bCs/>
                <w:color w:val="000000" w:themeColor="text1"/>
                <w:sz w:val="24"/>
                <w14:textFill>
                  <w14:solidFill>
                    <w14:schemeClr w14:val="tx1"/>
                  </w14:solidFill>
                </w14:textFill>
              </w:rPr>
              <w:t>。</w:t>
            </w:r>
          </w:p>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6</w:t>
            </w:r>
            <w:r>
              <w:rPr>
                <w:rFonts w:eastAsia="黑体"/>
                <w:color w:val="000000" w:themeColor="text1"/>
                <w:sz w:val="24"/>
                <w14:textFill>
                  <w14:solidFill>
                    <w14:schemeClr w14:val="tx1"/>
                  </w14:solidFill>
                </w14:textFill>
              </w:rPr>
              <w:t>、工程投资</w:t>
            </w:r>
          </w:p>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工程总投资</w:t>
            </w:r>
            <w:r>
              <w:rPr>
                <w:rFonts w:hint="eastAsia"/>
                <w:bCs/>
                <w:color w:val="000000" w:themeColor="text1"/>
                <w:sz w:val="24"/>
                <w14:textFill>
                  <w14:solidFill>
                    <w14:schemeClr w14:val="tx1"/>
                  </w14:solidFill>
                </w14:textFill>
              </w:rPr>
              <w:t>1000</w:t>
            </w:r>
            <w:r>
              <w:rPr>
                <w:bCs/>
                <w:color w:val="000000" w:themeColor="text1"/>
                <w:sz w:val="24"/>
                <w14:textFill>
                  <w14:solidFill>
                    <w14:schemeClr w14:val="tx1"/>
                  </w14:solidFill>
                </w14:textFill>
              </w:rPr>
              <w:t>万元，其中环保投资</w:t>
            </w:r>
            <w:r>
              <w:rPr>
                <w:rFonts w:hint="eastAsia"/>
                <w:bCs/>
                <w:color w:val="000000" w:themeColor="text1"/>
                <w:sz w:val="24"/>
                <w14:textFill>
                  <w14:solidFill>
                    <w14:schemeClr w14:val="tx1"/>
                  </w14:solidFill>
                </w14:textFill>
              </w:rPr>
              <w:t>50万元，</w:t>
            </w:r>
            <w:r>
              <w:rPr>
                <w:bCs/>
                <w:color w:val="000000" w:themeColor="text1"/>
                <w:sz w:val="24"/>
                <w14:textFill>
                  <w14:solidFill>
                    <w14:schemeClr w14:val="tx1"/>
                  </w14:solidFill>
                </w14:textFill>
              </w:rPr>
              <w:t>占总投资比例为</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。环保投资见表</w:t>
            </w:r>
            <w:r>
              <w:rPr>
                <w:rFonts w:hint="eastAsia"/>
                <w:bCs/>
                <w:color w:val="000000" w:themeColor="text1"/>
                <w:sz w:val="24"/>
                <w14:textFill>
                  <w14:solidFill>
                    <w14:schemeClr w14:val="tx1"/>
                  </w14:solidFill>
                </w14:textFill>
              </w:rPr>
              <w:t>1-6。</w:t>
            </w:r>
          </w:p>
          <w:p>
            <w:pPr>
              <w:spacing w:line="44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1-6</w:t>
            </w:r>
            <w:r>
              <w:rPr>
                <w:b/>
                <w:color w:val="000000" w:themeColor="text1"/>
                <w:sz w:val="24"/>
                <w14:textFill>
                  <w14:solidFill>
                    <w14:schemeClr w14:val="tx1"/>
                  </w14:solidFill>
                </w14:textFill>
              </w:rPr>
              <w:t xml:space="preserve"> 环保投资一览表</w:t>
            </w:r>
          </w:p>
          <w:tbl>
            <w:tblPr>
              <w:tblStyle w:val="32"/>
              <w:tblW w:w="4997" w:type="pct"/>
              <w:jc w:val="center"/>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812"/>
              <w:gridCol w:w="1145"/>
              <w:gridCol w:w="1047"/>
              <w:gridCol w:w="4500"/>
              <w:gridCol w:w="1076"/>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448" w:type="pct"/>
                  <w:tcBorders>
                    <w:tl2br w:val="nil"/>
                    <w:tr2bl w:val="nil"/>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污染类别</w:t>
                  </w:r>
                </w:p>
              </w:tc>
              <w:tc>
                <w:tcPr>
                  <w:tcW w:w="631" w:type="pct"/>
                  <w:tcBorders>
                    <w:tl2br w:val="nil"/>
                    <w:tr2bl w:val="nil"/>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污染源</w:t>
                  </w:r>
                </w:p>
              </w:tc>
              <w:tc>
                <w:tcPr>
                  <w:tcW w:w="577" w:type="pct"/>
                  <w:tcBorders>
                    <w:tl2br w:val="nil"/>
                    <w:tr2bl w:val="nil"/>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污染物名称</w:t>
                  </w:r>
                </w:p>
              </w:tc>
              <w:tc>
                <w:tcPr>
                  <w:tcW w:w="2479" w:type="pct"/>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环保措施</w:t>
                  </w:r>
                </w:p>
              </w:tc>
              <w:tc>
                <w:tcPr>
                  <w:tcW w:w="593" w:type="pct"/>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投资金额（万元）</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48"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废气</w:t>
                  </w:r>
                </w:p>
              </w:tc>
              <w:tc>
                <w:tcPr>
                  <w:tcW w:w="631"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生产厂房</w:t>
                  </w:r>
                </w:p>
              </w:tc>
              <w:tc>
                <w:tcPr>
                  <w:tcW w:w="577" w:type="pct"/>
                  <w:tcBorders>
                    <w:tl2br w:val="nil"/>
                    <w:tr2bl w:val="nil"/>
                  </w:tcBorders>
                  <w:vAlign w:val="center"/>
                </w:tcPr>
                <w:p>
                  <w:pPr>
                    <w:pStyle w:val="44"/>
                    <w:jc w:val="center"/>
                    <w:rPr>
                      <w:color w:val="000000" w:themeColor="text1"/>
                      <w14:textFill>
                        <w14:solidFill>
                          <w14:schemeClr w14:val="tx1"/>
                        </w14:solidFill>
                      </w14:textFill>
                    </w:rPr>
                  </w:pPr>
                  <w:r>
                    <w:rPr>
                      <w:color w:val="000000" w:themeColor="text1"/>
                      <w:szCs w:val="21"/>
                      <w14:textFill>
                        <w14:solidFill>
                          <w14:schemeClr w14:val="tx1"/>
                        </w14:solidFill>
                      </w14:textFill>
                    </w:rPr>
                    <w:t>粉尘</w:t>
                  </w:r>
                </w:p>
              </w:tc>
              <w:tc>
                <w:tcPr>
                  <w:tcW w:w="2479" w:type="pct"/>
                  <w:tcBorders>
                    <w:tl2br w:val="nil"/>
                    <w:tr2bl w:val="nil"/>
                  </w:tcBorders>
                  <w:vAlign w:val="center"/>
                </w:tcPr>
                <w:p>
                  <w:pPr>
                    <w:pStyle w:val="44"/>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地面硬化，车间全封闭</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448"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631" w:type="pct"/>
                  <w:tcBorders>
                    <w:tl2br w:val="nil"/>
                    <w:tr2bl w:val="nil"/>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转运系统</w:t>
                  </w:r>
                </w:p>
              </w:tc>
              <w:tc>
                <w:tcPr>
                  <w:tcW w:w="577" w:type="pct"/>
                  <w:tcBorders>
                    <w:tl2br w:val="nil"/>
                    <w:tr2bl w:val="nil"/>
                  </w:tcBorders>
                  <w:vAlign w:val="center"/>
                </w:tcPr>
                <w:p>
                  <w:pPr>
                    <w:pStyle w:val="44"/>
                    <w:jc w:val="center"/>
                    <w:rPr>
                      <w:color w:val="000000" w:themeColor="text1"/>
                      <w14:textFill>
                        <w14:solidFill>
                          <w14:schemeClr w14:val="tx1"/>
                        </w14:solidFill>
                      </w14:textFill>
                    </w:rPr>
                  </w:pPr>
                  <w:r>
                    <w:rPr>
                      <w:color w:val="000000" w:themeColor="text1"/>
                      <w14:textFill>
                        <w14:solidFill>
                          <w14:schemeClr w14:val="tx1"/>
                        </w14:solidFill>
                      </w14:textFill>
                    </w:rPr>
                    <w:t>粉尘</w:t>
                  </w:r>
                </w:p>
              </w:tc>
              <w:tc>
                <w:tcPr>
                  <w:tcW w:w="2479" w:type="pct"/>
                  <w:tcBorders>
                    <w:tl2br w:val="nil"/>
                    <w:tr2bl w:val="nil"/>
                  </w:tcBorders>
                  <w:vAlign w:val="center"/>
                </w:tcPr>
                <w:p>
                  <w:pPr>
                    <w:ind w:firstLine="42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全封闭皮带走廊</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448"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631" w:type="pct"/>
                  <w:tcBorders>
                    <w:tl2br w:val="nil"/>
                    <w:tr2bl w:val="nil"/>
                  </w:tcBorders>
                  <w:vAlign w:val="center"/>
                </w:tcPr>
                <w:p>
                  <w:pPr>
                    <w:pStyle w:val="44"/>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破碎工序</w:t>
                  </w:r>
                </w:p>
              </w:tc>
              <w:tc>
                <w:tcPr>
                  <w:tcW w:w="577" w:type="pct"/>
                  <w:tcBorders>
                    <w:tl2br w:val="nil"/>
                    <w:tr2bl w:val="nil"/>
                  </w:tcBorders>
                  <w:vAlign w:val="center"/>
                </w:tcPr>
                <w:p>
                  <w:pPr>
                    <w:pStyle w:val="44"/>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粉尘</w:t>
                  </w:r>
                </w:p>
              </w:tc>
              <w:tc>
                <w:tcPr>
                  <w:tcW w:w="2479" w:type="pct"/>
                  <w:tcBorders>
                    <w:tl2br w:val="nil"/>
                    <w:tr2bl w:val="nil"/>
                  </w:tcBorders>
                  <w:vAlign w:val="center"/>
                </w:tcPr>
                <w:p>
                  <w:pPr>
                    <w:pStyle w:val="44"/>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在破碎机进料口和出料口均设伞式</w:t>
                  </w:r>
                  <w:r>
                    <w:rPr>
                      <w:rFonts w:hint="eastAsia"/>
                      <w:bCs/>
                      <w:color w:val="000000" w:themeColor="text1"/>
                      <w:szCs w:val="21"/>
                      <w:highlight w:val="none"/>
                      <w14:textFill>
                        <w14:solidFill>
                          <w14:schemeClr w14:val="tx1"/>
                        </w14:solidFill>
                      </w14:textFill>
                    </w:rPr>
                    <w:t>集气罩（共1台破碎机，2个集气罩），粉尘集中收</w:t>
                  </w:r>
                  <w:r>
                    <w:rPr>
                      <w:rFonts w:hint="eastAsia"/>
                      <w:bCs/>
                      <w:color w:val="000000" w:themeColor="text1"/>
                      <w:szCs w:val="21"/>
                      <w14:textFill>
                        <w14:solidFill>
                          <w14:schemeClr w14:val="tx1"/>
                        </w14:solidFill>
                      </w14:textFill>
                    </w:rPr>
                    <w:t>集后送入1台高效布袋除尘器，</w:t>
                  </w:r>
                  <w:r>
                    <w:rPr>
                      <w:bCs/>
                      <w:color w:val="000000" w:themeColor="text1"/>
                      <w:szCs w:val="21"/>
                      <w14:textFill>
                        <w14:solidFill>
                          <w14:schemeClr w14:val="tx1"/>
                        </w14:solidFill>
                      </w14:textFill>
                    </w:rPr>
                    <w:t>经袋式除尘器处理后，废气通过</w:t>
                  </w:r>
                  <w:r>
                    <w:rPr>
                      <w:rFonts w:hint="eastAsia"/>
                      <w:bCs/>
                      <w:color w:val="000000" w:themeColor="text1"/>
                      <w:szCs w:val="21"/>
                      <w14:textFill>
                        <w14:solidFill>
                          <w14:schemeClr w14:val="tx1"/>
                        </w14:solidFill>
                      </w14:textFill>
                    </w:rPr>
                    <w:t>15</w:t>
                  </w:r>
                  <w:r>
                    <w:rPr>
                      <w:bCs/>
                      <w:color w:val="000000" w:themeColor="text1"/>
                      <w:szCs w:val="21"/>
                      <w14:textFill>
                        <w14:solidFill>
                          <w14:schemeClr w14:val="tx1"/>
                        </w14:solidFill>
                      </w14:textFill>
                    </w:rPr>
                    <w:t>m高的排气筒外排</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448"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631" w:type="pct"/>
                  <w:tcBorders>
                    <w:tl2br w:val="nil"/>
                    <w:tr2bl w:val="nil"/>
                  </w:tcBorders>
                  <w:vAlign w:val="center"/>
                </w:tcPr>
                <w:p>
                  <w:pPr>
                    <w:pStyle w:val="44"/>
                    <w:jc w:val="center"/>
                    <w:rPr>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原料、成品运输</w:t>
                  </w:r>
                </w:p>
              </w:tc>
              <w:tc>
                <w:tcPr>
                  <w:tcW w:w="577" w:type="pct"/>
                  <w:tcBorders>
                    <w:tl2br w:val="nil"/>
                    <w:tr2bl w:val="nil"/>
                  </w:tcBorders>
                  <w:vAlign w:val="center"/>
                </w:tcPr>
                <w:p>
                  <w:pPr>
                    <w:pStyle w:val="44"/>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粉尘</w:t>
                  </w:r>
                </w:p>
              </w:tc>
              <w:tc>
                <w:tcPr>
                  <w:tcW w:w="2479" w:type="pct"/>
                  <w:tcBorders>
                    <w:tl2br w:val="nil"/>
                    <w:tr2bl w:val="nil"/>
                  </w:tcBorders>
                  <w:vAlign w:val="center"/>
                </w:tcPr>
                <w:p>
                  <w:pPr>
                    <w:pStyle w:val="44"/>
                    <w:jc w:val="center"/>
                    <w:rPr>
                      <w:bCs/>
                      <w:color w:val="000000" w:themeColor="text1"/>
                      <w:szCs w:val="21"/>
                      <w14:textFill>
                        <w14:solidFill>
                          <w14:schemeClr w14:val="tx1"/>
                        </w14:solidFill>
                      </w14:textFill>
                    </w:rPr>
                  </w:pPr>
                  <w:r>
                    <w:rPr>
                      <w:rFonts w:hAnsi="宋体"/>
                      <w:color w:val="000000" w:themeColor="text1"/>
                      <w:spacing w:val="4"/>
                      <w:szCs w:val="21"/>
                      <w14:textFill>
                        <w14:solidFill>
                          <w14:schemeClr w14:val="tx1"/>
                        </w14:solidFill>
                      </w14:textFill>
                    </w:rPr>
                    <w:t>限制汽车超载超速、运输车辆加盖篷布、</w:t>
                  </w:r>
                  <w:r>
                    <w:rPr>
                      <w:color w:val="000000" w:themeColor="text1"/>
                      <w:szCs w:val="21"/>
                      <w14:textFill>
                        <w14:solidFill>
                          <w14:schemeClr w14:val="tx1"/>
                        </w14:solidFill>
                      </w14:textFill>
                    </w:rPr>
                    <w:t>道路定期洒水抑尘</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48"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废水</w:t>
                  </w:r>
                </w:p>
              </w:tc>
              <w:tc>
                <w:tcPr>
                  <w:tcW w:w="631"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生活污水</w:t>
                  </w:r>
                </w:p>
              </w:tc>
              <w:tc>
                <w:tcPr>
                  <w:tcW w:w="577"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w:t>
                  </w:r>
                </w:p>
              </w:tc>
              <w:tc>
                <w:tcPr>
                  <w:tcW w:w="2479"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生活污水产生量小、水质简单，用于厂区洒水抑尘</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448"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631" w:type="pct"/>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洗车废水</w:t>
                  </w:r>
                </w:p>
              </w:tc>
              <w:tc>
                <w:tcPr>
                  <w:tcW w:w="577" w:type="pct"/>
                  <w:tcBorders>
                    <w:tl2br w:val="nil"/>
                    <w:tr2bl w:val="nil"/>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生产废水</w:t>
                  </w:r>
                </w:p>
              </w:tc>
              <w:tc>
                <w:tcPr>
                  <w:tcW w:w="2479" w:type="pct"/>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bCs/>
                      <w:color w:val="000000" w:themeColor="text1"/>
                      <w14:textFill>
                        <w14:solidFill>
                          <w14:schemeClr w14:val="tx1"/>
                        </w14:solidFill>
                      </w14:textFill>
                    </w:rPr>
                    <w:t>厂区设运输1座车辆清洗平台，沉淀池为二级沉淀，容积为5m</w:t>
                  </w:r>
                  <w:r>
                    <w:rPr>
                      <w:rFonts w:hint="eastAsia"/>
                      <w:bCs/>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；厂区设运输车辆清洗平台，</w:t>
                  </w:r>
                  <w:r>
                    <w:rPr>
                      <w:bCs/>
                      <w:color w:val="000000" w:themeColor="text1"/>
                      <w14:textFill>
                        <w14:solidFill>
                          <w14:schemeClr w14:val="tx1"/>
                        </w14:solidFill>
                      </w14:textFill>
                    </w:rPr>
                    <w:t>经过</w:t>
                  </w:r>
                  <w:r>
                    <w:rPr>
                      <w:color w:val="000000" w:themeColor="text1"/>
                      <w14:textFill>
                        <w14:solidFill>
                          <w14:schemeClr w14:val="tx1"/>
                        </w14:solidFill>
                      </w14:textFill>
                    </w:rPr>
                    <w:t>沉淀</w:t>
                  </w:r>
                  <w:r>
                    <w:rPr>
                      <w:bCs/>
                      <w:color w:val="000000" w:themeColor="text1"/>
                      <w14:textFill>
                        <w14:solidFill>
                          <w14:schemeClr w14:val="tx1"/>
                        </w14:solidFill>
                      </w14:textFill>
                    </w:rPr>
                    <w:t>处理</w:t>
                  </w:r>
                  <w:r>
                    <w:rPr>
                      <w:color w:val="000000" w:themeColor="text1"/>
                      <w14:textFill>
                        <w14:solidFill>
                          <w14:schemeClr w14:val="tx1"/>
                        </w14:solidFill>
                      </w14:textFill>
                    </w:rPr>
                    <w:t>后用于道路洒水抑尘</w:t>
                  </w:r>
                </w:p>
              </w:tc>
              <w:tc>
                <w:tcPr>
                  <w:tcW w:w="593" w:type="pct"/>
                  <w:tcBorders>
                    <w:tl2br w:val="nil"/>
                    <w:tr2bl w:val="nil"/>
                  </w:tcBorders>
                  <w:vAlign w:val="center"/>
                </w:tcPr>
                <w:p>
                  <w:pPr>
                    <w:widowControl/>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448"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631" w:type="pct"/>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初期雨水</w:t>
                  </w:r>
                </w:p>
              </w:tc>
              <w:tc>
                <w:tcPr>
                  <w:tcW w:w="577"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初期雨水</w:t>
                  </w:r>
                </w:p>
              </w:tc>
              <w:tc>
                <w:tcPr>
                  <w:tcW w:w="2479"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color w:val="000000" w:themeColor="text1"/>
                      <w:szCs w:val="21"/>
                      <w14:textFill>
                        <w14:solidFill>
                          <w14:schemeClr w14:val="tx1"/>
                        </w14:solidFill>
                      </w14:textFill>
                    </w:rPr>
                    <w:t>设一座100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初期雨水收集池</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经雨水收集池沉淀后用于厂区降尘洒水</w:t>
                  </w:r>
                </w:p>
              </w:tc>
              <w:tc>
                <w:tcPr>
                  <w:tcW w:w="593"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4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噪声</w:t>
                  </w:r>
                </w:p>
              </w:tc>
              <w:tc>
                <w:tcPr>
                  <w:tcW w:w="63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生产设备</w:t>
                  </w:r>
                </w:p>
              </w:tc>
              <w:tc>
                <w:tcPr>
                  <w:tcW w:w="577"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设备噪声</w:t>
                  </w:r>
                </w:p>
              </w:tc>
              <w:tc>
                <w:tcPr>
                  <w:tcW w:w="247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设备采取隔声、消声、基础减震</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448" w:type="pct"/>
                  <w:vMerge w:val="restar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固废</w:t>
                  </w:r>
                </w:p>
              </w:tc>
              <w:tc>
                <w:tcPr>
                  <w:tcW w:w="631"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除尘装置</w:t>
                  </w:r>
                </w:p>
              </w:tc>
              <w:tc>
                <w:tcPr>
                  <w:tcW w:w="577"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除尘灰</w:t>
                  </w:r>
                </w:p>
              </w:tc>
              <w:tc>
                <w:tcPr>
                  <w:tcW w:w="2479"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可作为原料回用于生产</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448" w:type="pct"/>
                  <w:vMerge w:val="continue"/>
                  <w:tcBorders>
                    <w:tl2br w:val="nil"/>
                    <w:tr2bl w:val="nil"/>
                  </w:tcBorders>
                  <w:vAlign w:val="center"/>
                </w:tcPr>
                <w:p>
                  <w:pPr>
                    <w:pStyle w:val="44"/>
                    <w:jc w:val="center"/>
                    <w:rPr>
                      <w:color w:val="000000" w:themeColor="text1"/>
                      <w14:textFill>
                        <w14:solidFill>
                          <w14:schemeClr w14:val="tx1"/>
                        </w14:solidFill>
                      </w14:textFill>
                    </w:rPr>
                  </w:pPr>
                </w:p>
              </w:tc>
              <w:tc>
                <w:tcPr>
                  <w:tcW w:w="631" w:type="pct"/>
                  <w:tcBorders>
                    <w:tl2br w:val="nil"/>
                    <w:tr2bl w:val="nil"/>
                  </w:tcBorders>
                  <w:vAlign w:val="center"/>
                </w:tcPr>
                <w:p>
                  <w:pPr>
                    <w:pStyle w:val="4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职工生活垃圾</w:t>
                  </w:r>
                </w:p>
              </w:tc>
              <w:tc>
                <w:tcPr>
                  <w:tcW w:w="577" w:type="pct"/>
                  <w:tcBorders>
                    <w:tl2br w:val="nil"/>
                    <w:tr2bl w:val="nil"/>
                  </w:tcBorders>
                  <w:vAlign w:val="center"/>
                </w:tcPr>
                <w:p>
                  <w:pPr>
                    <w:spacing w:line="2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生活垃圾</w:t>
                  </w:r>
                </w:p>
              </w:tc>
              <w:tc>
                <w:tcPr>
                  <w:tcW w:w="2479" w:type="pct"/>
                  <w:tcBorders>
                    <w:tl2br w:val="nil"/>
                    <w:tr2bl w:val="nil"/>
                  </w:tcBorders>
                  <w:vAlign w:val="center"/>
                </w:tcPr>
                <w:p>
                  <w:pPr>
                    <w:pStyle w:val="44"/>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厂区内设置垃圾桶，定期</w:t>
                  </w:r>
                  <w:r>
                    <w:rPr>
                      <w:rFonts w:hint="eastAsia"/>
                      <w:color w:val="000000" w:themeColor="text1"/>
                      <w:spacing w:val="6"/>
                      <w:szCs w:val="21"/>
                      <w14:textFill>
                        <w14:solidFill>
                          <w14:schemeClr w14:val="tx1"/>
                        </w14:solidFill>
                      </w14:textFill>
                    </w:rPr>
                    <w:t>送当地垃圾填埋场进行填埋处置</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4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生态</w:t>
                  </w:r>
                </w:p>
              </w:tc>
              <w:tc>
                <w:tcPr>
                  <w:tcW w:w="3688" w:type="pct"/>
                  <w:gridSpan w:val="3"/>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厂区绿化，绿化面积为1000m</w:t>
                  </w:r>
                  <w:r>
                    <w:rPr>
                      <w:rFonts w:hint="eastAsia"/>
                      <w:color w:val="000000" w:themeColor="text1"/>
                      <w:szCs w:val="21"/>
                      <w:vertAlign w:val="superscript"/>
                      <w14:textFill>
                        <w14:solidFill>
                          <w14:schemeClr w14:val="tx1"/>
                        </w14:solidFill>
                      </w14:textFill>
                    </w:rPr>
                    <w:t>2</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06" w:type="pct"/>
                  <w:gridSpan w:val="5"/>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w:t>
                  </w:r>
                </w:p>
              </w:tc>
              <w:tc>
                <w:tcPr>
                  <w:tcW w:w="59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r>
          </w:tbl>
          <w:p>
            <w:pPr>
              <w:spacing w:line="480" w:lineRule="exact"/>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7、主要经济技术指标</w:t>
            </w:r>
          </w:p>
          <w:p>
            <w:pPr>
              <w:spacing w:line="480" w:lineRule="exact"/>
              <w:ind w:firstLine="480" w:firstLineChars="200"/>
              <w:rPr>
                <w:sz w:val="24"/>
              </w:rPr>
            </w:pPr>
            <w:r>
              <w:rPr>
                <w:rFonts w:hint="eastAsia"/>
                <w:sz w:val="24"/>
              </w:rPr>
              <w:t>工程主要技术经济指标见表1-7。</w:t>
            </w:r>
          </w:p>
          <w:p>
            <w:pPr>
              <w:spacing w:line="480" w:lineRule="exact"/>
              <w:ind w:firstLine="1446" w:firstLineChars="600"/>
              <w:jc w:val="center"/>
              <w:rPr>
                <w:rFonts w:hAnsi="宋体"/>
                <w:b/>
                <w:bCs/>
                <w:sz w:val="24"/>
              </w:rPr>
            </w:pPr>
            <w:r>
              <w:rPr>
                <w:rFonts w:hAnsi="宋体"/>
                <w:b/>
                <w:bCs/>
                <w:sz w:val="24"/>
              </w:rPr>
              <w:t>表</w:t>
            </w:r>
            <w:r>
              <w:rPr>
                <w:rFonts w:hint="eastAsia" w:hAnsi="宋体"/>
                <w:b/>
                <w:bCs/>
                <w:sz w:val="24"/>
              </w:rPr>
              <w:t>1-7</w:t>
            </w:r>
            <w:r>
              <w:rPr>
                <w:rFonts w:hAnsi="宋体"/>
                <w:b/>
                <w:bCs/>
                <w:sz w:val="24"/>
              </w:rPr>
              <w:t xml:space="preserve"> 本项目主要经济技术指标</w:t>
            </w:r>
          </w:p>
          <w:tbl>
            <w:tblPr>
              <w:tblStyle w:val="32"/>
              <w:tblW w:w="8861" w:type="dxa"/>
              <w:tblInd w:w="11" w:type="dxa"/>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1761"/>
              <w:gridCol w:w="1761"/>
              <w:gridCol w:w="2098"/>
              <w:gridCol w:w="1818"/>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trHeight w:val="347" w:hRule="atLeast"/>
              </w:trPr>
              <w:tc>
                <w:tcPr>
                  <w:tcW w:w="1423" w:type="dxa"/>
                  <w:tcBorders>
                    <w:tl2br w:val="nil"/>
                    <w:tr2bl w:val="nil"/>
                  </w:tcBorders>
                  <w:vAlign w:val="center"/>
                </w:tcPr>
                <w:p>
                  <w:pPr>
                    <w:spacing w:line="360" w:lineRule="exact"/>
                    <w:jc w:val="center"/>
                    <w:rPr>
                      <w:color w:val="000000"/>
                      <w:szCs w:val="21"/>
                    </w:rPr>
                  </w:pPr>
                  <w:r>
                    <w:rPr>
                      <w:color w:val="000000"/>
                      <w:szCs w:val="21"/>
                    </w:rPr>
                    <w:t>序号</w:t>
                  </w:r>
                </w:p>
              </w:tc>
              <w:tc>
                <w:tcPr>
                  <w:tcW w:w="3522" w:type="dxa"/>
                  <w:gridSpan w:val="2"/>
                  <w:tcBorders>
                    <w:tl2br w:val="nil"/>
                    <w:tr2bl w:val="nil"/>
                  </w:tcBorders>
                  <w:vAlign w:val="center"/>
                </w:tcPr>
                <w:p>
                  <w:pPr>
                    <w:spacing w:line="360" w:lineRule="exact"/>
                    <w:jc w:val="center"/>
                    <w:rPr>
                      <w:color w:val="000000"/>
                      <w:szCs w:val="21"/>
                    </w:rPr>
                  </w:pPr>
                  <w:r>
                    <w:rPr>
                      <w:color w:val="000000"/>
                      <w:szCs w:val="21"/>
                    </w:rPr>
                    <w:t>指标名称</w:t>
                  </w:r>
                </w:p>
              </w:tc>
              <w:tc>
                <w:tcPr>
                  <w:tcW w:w="2098" w:type="dxa"/>
                  <w:tcBorders>
                    <w:tl2br w:val="nil"/>
                    <w:tr2bl w:val="nil"/>
                  </w:tcBorders>
                  <w:vAlign w:val="center"/>
                </w:tcPr>
                <w:p>
                  <w:pPr>
                    <w:spacing w:line="360" w:lineRule="exact"/>
                    <w:jc w:val="center"/>
                    <w:rPr>
                      <w:color w:val="000000"/>
                      <w:szCs w:val="21"/>
                    </w:rPr>
                  </w:pPr>
                  <w:r>
                    <w:rPr>
                      <w:color w:val="000000"/>
                      <w:szCs w:val="21"/>
                    </w:rPr>
                    <w:t>单位</w:t>
                  </w:r>
                </w:p>
              </w:tc>
              <w:tc>
                <w:tcPr>
                  <w:tcW w:w="1818" w:type="dxa"/>
                  <w:tcBorders>
                    <w:tl2br w:val="nil"/>
                    <w:tr2bl w:val="nil"/>
                  </w:tcBorders>
                  <w:vAlign w:val="center"/>
                </w:tcPr>
                <w:p>
                  <w:pPr>
                    <w:spacing w:line="360" w:lineRule="exact"/>
                    <w:jc w:val="center"/>
                    <w:rPr>
                      <w:color w:val="000000"/>
                      <w:szCs w:val="21"/>
                    </w:rPr>
                  </w:pPr>
                  <w:r>
                    <w:rPr>
                      <w:color w:val="000000"/>
                      <w:szCs w:val="21"/>
                    </w:rPr>
                    <w:t>数量</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423" w:type="dxa"/>
                  <w:tcBorders>
                    <w:tl2br w:val="nil"/>
                    <w:tr2bl w:val="nil"/>
                  </w:tcBorders>
                  <w:vAlign w:val="center"/>
                </w:tcPr>
                <w:p>
                  <w:pPr>
                    <w:spacing w:line="360" w:lineRule="exact"/>
                    <w:jc w:val="center"/>
                    <w:rPr>
                      <w:color w:val="000000"/>
                      <w:szCs w:val="21"/>
                    </w:rPr>
                  </w:pPr>
                  <w:r>
                    <w:rPr>
                      <w:color w:val="000000"/>
                      <w:szCs w:val="21"/>
                    </w:rPr>
                    <w:t>1</w:t>
                  </w:r>
                </w:p>
              </w:tc>
              <w:tc>
                <w:tcPr>
                  <w:tcW w:w="1761" w:type="dxa"/>
                  <w:tcBorders>
                    <w:tl2br w:val="nil"/>
                    <w:tr2bl w:val="nil"/>
                  </w:tcBorders>
                  <w:vAlign w:val="center"/>
                </w:tcPr>
                <w:p>
                  <w:pPr>
                    <w:spacing w:line="360" w:lineRule="exact"/>
                    <w:jc w:val="center"/>
                    <w:rPr>
                      <w:color w:val="000000"/>
                      <w:szCs w:val="21"/>
                    </w:rPr>
                  </w:pPr>
                  <w:r>
                    <w:rPr>
                      <w:color w:val="000000"/>
                      <w:szCs w:val="21"/>
                    </w:rPr>
                    <w:t>产品规模及方案</w:t>
                  </w:r>
                </w:p>
              </w:tc>
              <w:tc>
                <w:tcPr>
                  <w:tcW w:w="1761" w:type="dxa"/>
                  <w:tcBorders>
                    <w:tl2br w:val="nil"/>
                    <w:tr2bl w:val="nil"/>
                  </w:tcBorders>
                  <w:vAlign w:val="center"/>
                </w:tcPr>
                <w:p>
                  <w:pPr>
                    <w:spacing w:line="360" w:lineRule="exact"/>
                    <w:jc w:val="center"/>
                    <w:rPr>
                      <w:color w:val="000000"/>
                      <w:szCs w:val="21"/>
                    </w:rPr>
                  </w:pPr>
                  <w:r>
                    <w:rPr>
                      <w:rFonts w:hint="eastAsia"/>
                      <w:color w:val="000000"/>
                      <w:szCs w:val="21"/>
                    </w:rPr>
                    <w:t>型煤</w:t>
                  </w:r>
                </w:p>
              </w:tc>
              <w:tc>
                <w:tcPr>
                  <w:tcW w:w="2098" w:type="dxa"/>
                  <w:tcBorders>
                    <w:tl2br w:val="nil"/>
                    <w:tr2bl w:val="nil"/>
                  </w:tcBorders>
                  <w:vAlign w:val="center"/>
                </w:tcPr>
                <w:p>
                  <w:pPr>
                    <w:spacing w:line="360" w:lineRule="exact"/>
                    <w:jc w:val="center"/>
                    <w:rPr>
                      <w:color w:val="000000"/>
                      <w:szCs w:val="21"/>
                    </w:rPr>
                  </w:pPr>
                </w:p>
                <w:p>
                  <w:pPr>
                    <w:spacing w:line="360" w:lineRule="exact"/>
                    <w:jc w:val="center"/>
                    <w:rPr>
                      <w:color w:val="000000"/>
                      <w:szCs w:val="21"/>
                    </w:rPr>
                  </w:pPr>
                  <w:r>
                    <w:rPr>
                      <w:color w:val="000000"/>
                      <w:szCs w:val="21"/>
                    </w:rPr>
                    <w:t>t/a</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500000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2</w:t>
                  </w:r>
                </w:p>
              </w:tc>
              <w:tc>
                <w:tcPr>
                  <w:tcW w:w="3522" w:type="dxa"/>
                  <w:gridSpan w:val="2"/>
                  <w:tcBorders>
                    <w:tl2br w:val="nil"/>
                    <w:tr2bl w:val="nil"/>
                  </w:tcBorders>
                  <w:vAlign w:val="center"/>
                </w:tcPr>
                <w:p>
                  <w:pPr>
                    <w:spacing w:line="360" w:lineRule="exact"/>
                    <w:jc w:val="center"/>
                    <w:rPr>
                      <w:color w:val="000000"/>
                      <w:szCs w:val="21"/>
                    </w:rPr>
                  </w:pPr>
                  <w:r>
                    <w:rPr>
                      <w:color w:val="000000"/>
                      <w:szCs w:val="21"/>
                    </w:rPr>
                    <w:t>原辅材料消耗量</w:t>
                  </w:r>
                </w:p>
              </w:tc>
              <w:tc>
                <w:tcPr>
                  <w:tcW w:w="2098" w:type="dxa"/>
                  <w:tcBorders>
                    <w:tl2br w:val="nil"/>
                    <w:tr2bl w:val="nil"/>
                  </w:tcBorders>
                  <w:vAlign w:val="center"/>
                </w:tcPr>
                <w:p>
                  <w:pPr>
                    <w:spacing w:line="360" w:lineRule="exact"/>
                    <w:jc w:val="center"/>
                    <w:rPr>
                      <w:color w:val="000000"/>
                      <w:szCs w:val="21"/>
                    </w:rPr>
                  </w:pPr>
                </w:p>
              </w:tc>
              <w:tc>
                <w:tcPr>
                  <w:tcW w:w="1818" w:type="dxa"/>
                  <w:tcBorders>
                    <w:tl2br w:val="nil"/>
                    <w:tr2bl w:val="nil"/>
                  </w:tcBorders>
                  <w:vAlign w:val="center"/>
                </w:tcPr>
                <w:p>
                  <w:pPr>
                    <w:spacing w:line="360" w:lineRule="exact"/>
                    <w:jc w:val="center"/>
                    <w:rPr>
                      <w:color w:val="000000"/>
                      <w:szCs w:val="21"/>
                    </w:rPr>
                  </w:pP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2.1</w:t>
                  </w:r>
                </w:p>
              </w:tc>
              <w:tc>
                <w:tcPr>
                  <w:tcW w:w="3522" w:type="dxa"/>
                  <w:gridSpan w:val="2"/>
                  <w:tcBorders>
                    <w:tl2br w:val="nil"/>
                    <w:tr2bl w:val="nil"/>
                  </w:tcBorders>
                  <w:vAlign w:val="center"/>
                </w:tcPr>
                <w:p>
                  <w:pPr>
                    <w:spacing w:line="280" w:lineRule="exact"/>
                    <w:jc w:val="center"/>
                    <w:rPr>
                      <w:color w:val="000000"/>
                      <w:szCs w:val="21"/>
                    </w:rPr>
                  </w:pPr>
                  <w:r>
                    <w:rPr>
                      <w:rFonts w:hint="eastAsia"/>
                      <w:color w:val="000000" w:themeColor="text1"/>
                      <w:szCs w:val="21"/>
                      <w14:textFill>
                        <w14:solidFill>
                          <w14:schemeClr w14:val="tx1"/>
                        </w14:solidFill>
                      </w14:textFill>
                    </w:rPr>
                    <w:t>精煤</w:t>
                  </w:r>
                </w:p>
              </w:tc>
              <w:tc>
                <w:tcPr>
                  <w:tcW w:w="2098" w:type="dxa"/>
                  <w:tcBorders>
                    <w:tl2br w:val="nil"/>
                    <w:tr2bl w:val="nil"/>
                  </w:tcBorders>
                  <w:vAlign w:val="center"/>
                </w:tcPr>
                <w:p>
                  <w:pPr>
                    <w:widowControl/>
                    <w:spacing w:line="360" w:lineRule="exact"/>
                    <w:jc w:val="center"/>
                    <w:rPr>
                      <w:color w:val="000000"/>
                      <w:szCs w:val="21"/>
                    </w:rPr>
                  </w:pPr>
                  <w:r>
                    <w:rPr>
                      <w:rFonts w:hint="eastAsia"/>
                      <w:color w:val="000000"/>
                      <w:szCs w:val="21"/>
                    </w:rPr>
                    <w:t>万</w:t>
                  </w:r>
                  <w:r>
                    <w:rPr>
                      <w:color w:val="000000"/>
                      <w:szCs w:val="21"/>
                    </w:rPr>
                    <w:t>t/a</w:t>
                  </w:r>
                </w:p>
              </w:tc>
              <w:tc>
                <w:tcPr>
                  <w:tcW w:w="1818" w:type="dxa"/>
                  <w:tcBorders>
                    <w:tl2br w:val="nil"/>
                    <w:tr2bl w:val="nil"/>
                  </w:tcBorders>
                  <w:vAlign w:val="center"/>
                </w:tcPr>
                <w:p>
                  <w:pPr>
                    <w:jc w:val="center"/>
                    <w:rPr>
                      <w:color w:val="000000"/>
                      <w:szCs w:val="21"/>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2.2</w:t>
                  </w:r>
                </w:p>
              </w:tc>
              <w:tc>
                <w:tcPr>
                  <w:tcW w:w="3522" w:type="dxa"/>
                  <w:gridSpan w:val="2"/>
                  <w:tcBorders>
                    <w:tl2br w:val="nil"/>
                    <w:tr2bl w:val="nil"/>
                  </w:tcBorders>
                  <w:vAlign w:val="center"/>
                </w:tcPr>
                <w:p>
                  <w:pPr>
                    <w:spacing w:line="280" w:lineRule="exact"/>
                    <w:jc w:val="center"/>
                    <w:rPr>
                      <w:color w:val="000000"/>
                      <w:szCs w:val="21"/>
                    </w:rPr>
                  </w:pPr>
                  <w:r>
                    <w:rPr>
                      <w:rFonts w:hint="eastAsia"/>
                      <w:bCs/>
                      <w:color w:val="000000" w:themeColor="text1"/>
                      <w:szCs w:val="21"/>
                      <w14:textFill>
                        <w14:solidFill>
                          <w14:schemeClr w14:val="tx1"/>
                        </w14:solidFill>
                      </w14:textFill>
                    </w:rPr>
                    <w:t>兰炭末</w:t>
                  </w:r>
                </w:p>
              </w:tc>
              <w:tc>
                <w:tcPr>
                  <w:tcW w:w="2098" w:type="dxa"/>
                  <w:tcBorders>
                    <w:tl2br w:val="nil"/>
                    <w:tr2bl w:val="nil"/>
                  </w:tcBorders>
                  <w:vAlign w:val="center"/>
                </w:tcPr>
                <w:p>
                  <w:pPr>
                    <w:widowControl/>
                    <w:spacing w:line="360" w:lineRule="exact"/>
                    <w:jc w:val="center"/>
                    <w:rPr>
                      <w:color w:val="000000"/>
                      <w:szCs w:val="21"/>
                    </w:rPr>
                  </w:pPr>
                  <w:r>
                    <w:rPr>
                      <w:rFonts w:hint="eastAsia"/>
                      <w:color w:val="000000"/>
                      <w:szCs w:val="21"/>
                    </w:rPr>
                    <w:t>万</w:t>
                  </w:r>
                  <w:r>
                    <w:rPr>
                      <w:color w:val="000000"/>
                      <w:szCs w:val="21"/>
                    </w:rPr>
                    <w:t>t/a</w:t>
                  </w:r>
                </w:p>
              </w:tc>
              <w:tc>
                <w:tcPr>
                  <w:tcW w:w="1818" w:type="dxa"/>
                  <w:tcBorders>
                    <w:tl2br w:val="nil"/>
                    <w:tr2bl w:val="nil"/>
                  </w:tcBorders>
                  <w:vAlign w:val="center"/>
                </w:tcPr>
                <w:p>
                  <w:pPr>
                    <w:jc w:val="center"/>
                    <w:rPr>
                      <w:color w:val="000000"/>
                      <w:szCs w:val="21"/>
                    </w:rPr>
                  </w:pPr>
                  <w:r>
                    <w:rPr>
                      <w:rFonts w:hint="eastAsia"/>
                      <w:color w:val="000000" w:themeColor="text1"/>
                      <w:szCs w:val="21"/>
                      <w14:textFill>
                        <w14:solidFill>
                          <w14:schemeClr w14:val="tx1"/>
                        </w14:solidFill>
                      </w14:textFill>
                    </w:rPr>
                    <w:t>22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2.3</w:t>
                  </w:r>
                </w:p>
              </w:tc>
              <w:tc>
                <w:tcPr>
                  <w:tcW w:w="3522" w:type="dxa"/>
                  <w:gridSpan w:val="2"/>
                  <w:tcBorders>
                    <w:tl2br w:val="nil"/>
                    <w:tr2bl w:val="nil"/>
                  </w:tcBorders>
                  <w:vAlign w:val="center"/>
                </w:tcPr>
                <w:p>
                  <w:pPr>
                    <w:spacing w:line="280" w:lineRule="exact"/>
                    <w:jc w:val="center"/>
                    <w:rPr>
                      <w:color w:val="000000"/>
                      <w:szCs w:val="21"/>
                    </w:rPr>
                  </w:pPr>
                  <w:r>
                    <w:rPr>
                      <w:rFonts w:hint="eastAsia"/>
                      <w:color w:val="000000" w:themeColor="text1"/>
                      <w:szCs w:val="21"/>
                      <w14:textFill>
                        <w14:solidFill>
                          <w14:schemeClr w14:val="tx1"/>
                        </w14:solidFill>
                      </w14:textFill>
                    </w:rPr>
                    <w:t>粘结剂</w:t>
                  </w:r>
                </w:p>
              </w:tc>
              <w:tc>
                <w:tcPr>
                  <w:tcW w:w="2098" w:type="dxa"/>
                  <w:tcBorders>
                    <w:tl2br w:val="nil"/>
                    <w:tr2bl w:val="nil"/>
                  </w:tcBorders>
                  <w:vAlign w:val="center"/>
                </w:tcPr>
                <w:p>
                  <w:pPr>
                    <w:widowControl/>
                    <w:spacing w:line="360" w:lineRule="exact"/>
                    <w:jc w:val="center"/>
                    <w:rPr>
                      <w:color w:val="000000"/>
                      <w:szCs w:val="21"/>
                    </w:rPr>
                  </w:pPr>
                  <w:r>
                    <w:rPr>
                      <w:rFonts w:hint="eastAsia"/>
                      <w:color w:val="000000"/>
                      <w:szCs w:val="21"/>
                    </w:rPr>
                    <w:t>万</w:t>
                  </w:r>
                  <w:r>
                    <w:rPr>
                      <w:color w:val="000000"/>
                      <w:szCs w:val="21"/>
                    </w:rPr>
                    <w:t>t/a</w:t>
                  </w:r>
                </w:p>
              </w:tc>
              <w:tc>
                <w:tcPr>
                  <w:tcW w:w="1818" w:type="dxa"/>
                  <w:tcBorders>
                    <w:tl2br w:val="nil"/>
                    <w:tr2bl w:val="nil"/>
                  </w:tcBorders>
                  <w:vAlign w:val="center"/>
                </w:tcPr>
                <w:p>
                  <w:pPr>
                    <w:jc w:val="center"/>
                    <w:rPr>
                      <w:color w:val="000000"/>
                      <w:szCs w:val="21"/>
                    </w:rPr>
                  </w:pPr>
                  <w:r>
                    <w:rPr>
                      <w:rFonts w:hint="eastAsia"/>
                      <w:color w:val="000000" w:themeColor="text1"/>
                      <w:szCs w:val="21"/>
                      <w14:textFill>
                        <w14:solidFill>
                          <w14:schemeClr w14:val="tx1"/>
                        </w14:solidFill>
                      </w14:textFill>
                    </w:rPr>
                    <w:t>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rFonts w:hint="eastAsia"/>
                      <w:color w:val="000000"/>
                      <w:szCs w:val="21"/>
                    </w:rPr>
                    <w:t>2.4</w:t>
                  </w:r>
                </w:p>
              </w:tc>
              <w:tc>
                <w:tcPr>
                  <w:tcW w:w="3522" w:type="dxa"/>
                  <w:gridSpan w:val="2"/>
                  <w:tcBorders>
                    <w:tl2br w:val="nil"/>
                    <w:tr2bl w:val="nil"/>
                  </w:tcBorders>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固硫剂</w:t>
                  </w:r>
                </w:p>
              </w:tc>
              <w:tc>
                <w:tcPr>
                  <w:tcW w:w="2098" w:type="dxa"/>
                  <w:tcBorders>
                    <w:tl2br w:val="nil"/>
                    <w:tr2bl w:val="nil"/>
                  </w:tcBorders>
                  <w:vAlign w:val="center"/>
                </w:tcPr>
                <w:p>
                  <w:pPr>
                    <w:widowControl/>
                    <w:spacing w:line="360" w:lineRule="exact"/>
                    <w:jc w:val="center"/>
                    <w:rPr>
                      <w:color w:val="000000"/>
                      <w:szCs w:val="21"/>
                    </w:rPr>
                  </w:pPr>
                  <w:r>
                    <w:rPr>
                      <w:rFonts w:hint="eastAsia"/>
                      <w:color w:val="000000"/>
                      <w:szCs w:val="21"/>
                    </w:rPr>
                    <w:t>万</w:t>
                  </w:r>
                  <w:r>
                    <w:rPr>
                      <w:color w:val="000000"/>
                      <w:szCs w:val="21"/>
                    </w:rPr>
                    <w:t>t/a</w:t>
                  </w:r>
                </w:p>
              </w:tc>
              <w:tc>
                <w:tcPr>
                  <w:tcW w:w="1818"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3</w:t>
                  </w:r>
                </w:p>
              </w:tc>
              <w:tc>
                <w:tcPr>
                  <w:tcW w:w="3522" w:type="dxa"/>
                  <w:gridSpan w:val="2"/>
                  <w:tcBorders>
                    <w:tl2br w:val="nil"/>
                    <w:tr2bl w:val="nil"/>
                  </w:tcBorders>
                  <w:vAlign w:val="center"/>
                </w:tcPr>
                <w:p>
                  <w:pPr>
                    <w:spacing w:line="360" w:lineRule="exact"/>
                    <w:jc w:val="center"/>
                    <w:rPr>
                      <w:color w:val="000000"/>
                      <w:szCs w:val="21"/>
                    </w:rPr>
                  </w:pPr>
                  <w:r>
                    <w:rPr>
                      <w:color w:val="000000"/>
                      <w:szCs w:val="21"/>
                    </w:rPr>
                    <w:t>动力消耗</w:t>
                  </w:r>
                </w:p>
              </w:tc>
              <w:tc>
                <w:tcPr>
                  <w:tcW w:w="2098" w:type="dxa"/>
                  <w:tcBorders>
                    <w:tl2br w:val="nil"/>
                    <w:tr2bl w:val="nil"/>
                  </w:tcBorders>
                  <w:vAlign w:val="center"/>
                </w:tcPr>
                <w:p>
                  <w:pPr>
                    <w:spacing w:line="360" w:lineRule="exact"/>
                    <w:jc w:val="center"/>
                    <w:rPr>
                      <w:color w:val="000000"/>
                      <w:szCs w:val="21"/>
                    </w:rPr>
                  </w:pPr>
                </w:p>
              </w:tc>
              <w:tc>
                <w:tcPr>
                  <w:tcW w:w="1818" w:type="dxa"/>
                  <w:tcBorders>
                    <w:tl2br w:val="nil"/>
                    <w:tr2bl w:val="nil"/>
                  </w:tcBorders>
                  <w:vAlign w:val="center"/>
                </w:tcPr>
                <w:p>
                  <w:pPr>
                    <w:spacing w:line="360" w:lineRule="exact"/>
                    <w:jc w:val="center"/>
                    <w:rPr>
                      <w:color w:val="000000"/>
                      <w:szCs w:val="21"/>
                    </w:rPr>
                  </w:pP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86" w:hRule="atLeast"/>
              </w:trPr>
              <w:tc>
                <w:tcPr>
                  <w:tcW w:w="1423" w:type="dxa"/>
                  <w:tcBorders>
                    <w:tl2br w:val="nil"/>
                    <w:tr2bl w:val="nil"/>
                  </w:tcBorders>
                  <w:vAlign w:val="center"/>
                </w:tcPr>
                <w:p>
                  <w:pPr>
                    <w:spacing w:line="360" w:lineRule="exact"/>
                    <w:jc w:val="center"/>
                    <w:rPr>
                      <w:color w:val="000000"/>
                      <w:szCs w:val="21"/>
                    </w:rPr>
                  </w:pPr>
                  <w:r>
                    <w:rPr>
                      <w:color w:val="000000"/>
                      <w:szCs w:val="21"/>
                    </w:rPr>
                    <w:t>3.1</w:t>
                  </w:r>
                </w:p>
              </w:tc>
              <w:tc>
                <w:tcPr>
                  <w:tcW w:w="3522" w:type="dxa"/>
                  <w:gridSpan w:val="2"/>
                  <w:tcBorders>
                    <w:tl2br w:val="nil"/>
                    <w:tr2bl w:val="nil"/>
                  </w:tcBorders>
                  <w:vAlign w:val="center"/>
                </w:tcPr>
                <w:p>
                  <w:pPr>
                    <w:widowControl/>
                    <w:spacing w:line="360" w:lineRule="exact"/>
                    <w:jc w:val="center"/>
                    <w:rPr>
                      <w:color w:val="000000"/>
                      <w:szCs w:val="21"/>
                    </w:rPr>
                  </w:pPr>
                  <w:r>
                    <w:rPr>
                      <w:color w:val="000000"/>
                      <w:szCs w:val="21"/>
                    </w:rPr>
                    <w:t>电</w:t>
                  </w:r>
                </w:p>
              </w:tc>
              <w:tc>
                <w:tcPr>
                  <w:tcW w:w="2098" w:type="dxa"/>
                  <w:tcBorders>
                    <w:tl2br w:val="nil"/>
                    <w:tr2bl w:val="nil"/>
                  </w:tcBorders>
                  <w:vAlign w:val="center"/>
                </w:tcPr>
                <w:p>
                  <w:pPr>
                    <w:widowControl/>
                    <w:spacing w:line="360" w:lineRule="exact"/>
                    <w:jc w:val="center"/>
                    <w:rPr>
                      <w:color w:val="000000"/>
                      <w:szCs w:val="21"/>
                    </w:rPr>
                  </w:pPr>
                  <w:r>
                    <w:rPr>
                      <w:color w:val="000000"/>
                      <w:szCs w:val="21"/>
                    </w:rPr>
                    <w:t>万Wh/a</w:t>
                  </w:r>
                </w:p>
              </w:tc>
              <w:tc>
                <w:tcPr>
                  <w:tcW w:w="1818" w:type="dxa"/>
                  <w:tcBorders>
                    <w:tl2br w:val="nil"/>
                    <w:tr2bl w:val="nil"/>
                  </w:tcBorders>
                  <w:vAlign w:val="center"/>
                </w:tcPr>
                <w:p>
                  <w:pPr>
                    <w:widowControl/>
                    <w:spacing w:line="360" w:lineRule="exact"/>
                    <w:jc w:val="center"/>
                    <w:rPr>
                      <w:color w:val="000000"/>
                      <w:szCs w:val="21"/>
                    </w:rPr>
                  </w:pPr>
                  <w:r>
                    <w:rPr>
                      <w:rFonts w:hint="eastAsia"/>
                      <w:color w:val="000000"/>
                      <w:szCs w:val="21"/>
                    </w:rPr>
                    <w:t>20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3.2</w:t>
                  </w:r>
                </w:p>
              </w:tc>
              <w:tc>
                <w:tcPr>
                  <w:tcW w:w="3522" w:type="dxa"/>
                  <w:gridSpan w:val="2"/>
                  <w:tcBorders>
                    <w:tl2br w:val="nil"/>
                    <w:tr2bl w:val="nil"/>
                  </w:tcBorders>
                  <w:vAlign w:val="center"/>
                </w:tcPr>
                <w:p>
                  <w:pPr>
                    <w:widowControl/>
                    <w:spacing w:line="360" w:lineRule="exact"/>
                    <w:jc w:val="center"/>
                    <w:rPr>
                      <w:color w:val="000000"/>
                      <w:szCs w:val="21"/>
                    </w:rPr>
                  </w:pPr>
                  <w:r>
                    <w:rPr>
                      <w:color w:val="000000"/>
                      <w:szCs w:val="21"/>
                    </w:rPr>
                    <w:t>水</w:t>
                  </w:r>
                </w:p>
              </w:tc>
              <w:tc>
                <w:tcPr>
                  <w:tcW w:w="2098" w:type="dxa"/>
                  <w:tcBorders>
                    <w:tl2br w:val="nil"/>
                    <w:tr2bl w:val="nil"/>
                  </w:tcBorders>
                  <w:vAlign w:val="center"/>
                </w:tcPr>
                <w:p>
                  <w:pPr>
                    <w:widowControl/>
                    <w:spacing w:line="360" w:lineRule="exact"/>
                    <w:jc w:val="center"/>
                    <w:rPr>
                      <w:color w:val="000000"/>
                      <w:szCs w:val="21"/>
                    </w:rPr>
                  </w:pPr>
                  <w:r>
                    <w:rPr>
                      <w:color w:val="000000"/>
                      <w:szCs w:val="21"/>
                    </w:rPr>
                    <w:t>m</w:t>
                  </w:r>
                  <w:r>
                    <w:rPr>
                      <w:color w:val="000000"/>
                      <w:szCs w:val="21"/>
                      <w:vertAlign w:val="superscript"/>
                    </w:rPr>
                    <w:t>3</w:t>
                  </w:r>
                  <w:r>
                    <w:rPr>
                      <w:color w:val="000000"/>
                      <w:szCs w:val="21"/>
                    </w:rPr>
                    <w:t>/a</w:t>
                  </w:r>
                </w:p>
              </w:tc>
              <w:tc>
                <w:tcPr>
                  <w:tcW w:w="1818" w:type="dxa"/>
                  <w:tcBorders>
                    <w:tl2br w:val="nil"/>
                    <w:tr2bl w:val="nil"/>
                  </w:tcBorders>
                  <w:vAlign w:val="center"/>
                </w:tcPr>
                <w:p>
                  <w:pPr>
                    <w:widowControl/>
                    <w:spacing w:line="360" w:lineRule="exact"/>
                    <w:jc w:val="center"/>
                  </w:pPr>
                  <w:r>
                    <w:rPr>
                      <w:rFonts w:hint="eastAsia"/>
                    </w:rPr>
                    <w:t>250678</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4</w:t>
                  </w:r>
                </w:p>
              </w:tc>
              <w:tc>
                <w:tcPr>
                  <w:tcW w:w="3522" w:type="dxa"/>
                  <w:gridSpan w:val="2"/>
                  <w:tcBorders>
                    <w:tl2br w:val="nil"/>
                    <w:tr2bl w:val="nil"/>
                  </w:tcBorders>
                  <w:vAlign w:val="center"/>
                </w:tcPr>
                <w:p>
                  <w:pPr>
                    <w:spacing w:line="360" w:lineRule="exact"/>
                    <w:jc w:val="center"/>
                    <w:rPr>
                      <w:color w:val="000000"/>
                      <w:szCs w:val="21"/>
                    </w:rPr>
                  </w:pPr>
                  <w:r>
                    <w:rPr>
                      <w:color w:val="000000"/>
                      <w:szCs w:val="21"/>
                    </w:rPr>
                    <w:t>总图布置</w:t>
                  </w:r>
                </w:p>
              </w:tc>
              <w:tc>
                <w:tcPr>
                  <w:tcW w:w="2098" w:type="dxa"/>
                  <w:tcBorders>
                    <w:tl2br w:val="nil"/>
                    <w:tr2bl w:val="nil"/>
                  </w:tcBorders>
                  <w:vAlign w:val="center"/>
                </w:tcPr>
                <w:p>
                  <w:pPr>
                    <w:spacing w:line="360" w:lineRule="exact"/>
                    <w:jc w:val="center"/>
                    <w:rPr>
                      <w:color w:val="000000"/>
                      <w:szCs w:val="21"/>
                    </w:rPr>
                  </w:pPr>
                </w:p>
              </w:tc>
              <w:tc>
                <w:tcPr>
                  <w:tcW w:w="1818" w:type="dxa"/>
                  <w:tcBorders>
                    <w:tl2br w:val="nil"/>
                    <w:tr2bl w:val="nil"/>
                  </w:tcBorders>
                  <w:vAlign w:val="center"/>
                </w:tcPr>
                <w:p>
                  <w:pPr>
                    <w:spacing w:line="360" w:lineRule="exact"/>
                    <w:jc w:val="center"/>
                    <w:rPr>
                      <w:color w:val="000000"/>
                      <w:szCs w:val="21"/>
                    </w:rPr>
                  </w:pP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4.1</w:t>
                  </w:r>
                </w:p>
              </w:tc>
              <w:tc>
                <w:tcPr>
                  <w:tcW w:w="3522" w:type="dxa"/>
                  <w:gridSpan w:val="2"/>
                  <w:tcBorders>
                    <w:tl2br w:val="nil"/>
                    <w:tr2bl w:val="nil"/>
                  </w:tcBorders>
                  <w:vAlign w:val="center"/>
                </w:tcPr>
                <w:p>
                  <w:pPr>
                    <w:spacing w:line="360" w:lineRule="exact"/>
                    <w:jc w:val="center"/>
                    <w:rPr>
                      <w:color w:val="000000"/>
                      <w:szCs w:val="21"/>
                    </w:rPr>
                  </w:pPr>
                  <w:r>
                    <w:rPr>
                      <w:color w:val="000000"/>
                      <w:szCs w:val="21"/>
                    </w:rPr>
                    <w:t>总占地面积</w:t>
                  </w:r>
                </w:p>
              </w:tc>
              <w:tc>
                <w:tcPr>
                  <w:tcW w:w="2098" w:type="dxa"/>
                  <w:tcBorders>
                    <w:tl2br w:val="nil"/>
                    <w:tr2bl w:val="nil"/>
                  </w:tcBorders>
                  <w:vAlign w:val="center"/>
                </w:tcPr>
                <w:p>
                  <w:pPr>
                    <w:spacing w:line="360" w:lineRule="exact"/>
                    <w:jc w:val="center"/>
                    <w:rPr>
                      <w:color w:val="000000"/>
                      <w:szCs w:val="21"/>
                    </w:rPr>
                  </w:pPr>
                  <w:r>
                    <w:rPr>
                      <w:color w:val="000000"/>
                      <w:szCs w:val="21"/>
                    </w:rPr>
                    <w:t>m</w:t>
                  </w:r>
                  <w:r>
                    <w:rPr>
                      <w:color w:val="000000"/>
                      <w:szCs w:val="21"/>
                      <w:vertAlign w:val="superscript"/>
                    </w:rPr>
                    <w:t>2</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14718</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4.2</w:t>
                  </w:r>
                </w:p>
              </w:tc>
              <w:tc>
                <w:tcPr>
                  <w:tcW w:w="3522" w:type="dxa"/>
                  <w:gridSpan w:val="2"/>
                  <w:tcBorders>
                    <w:tl2br w:val="nil"/>
                    <w:tr2bl w:val="nil"/>
                  </w:tcBorders>
                  <w:vAlign w:val="center"/>
                </w:tcPr>
                <w:p>
                  <w:pPr>
                    <w:spacing w:line="360" w:lineRule="exact"/>
                    <w:jc w:val="center"/>
                    <w:rPr>
                      <w:color w:val="000000"/>
                      <w:szCs w:val="21"/>
                    </w:rPr>
                  </w:pPr>
                  <w:r>
                    <w:rPr>
                      <w:color w:val="000000"/>
                      <w:szCs w:val="21"/>
                    </w:rPr>
                    <w:t>绿化面积</w:t>
                  </w:r>
                </w:p>
              </w:tc>
              <w:tc>
                <w:tcPr>
                  <w:tcW w:w="2098" w:type="dxa"/>
                  <w:tcBorders>
                    <w:tl2br w:val="nil"/>
                    <w:tr2bl w:val="nil"/>
                  </w:tcBorders>
                  <w:vAlign w:val="center"/>
                </w:tcPr>
                <w:p>
                  <w:pPr>
                    <w:spacing w:line="360" w:lineRule="exact"/>
                    <w:jc w:val="center"/>
                    <w:rPr>
                      <w:color w:val="000000"/>
                      <w:szCs w:val="21"/>
                    </w:rPr>
                  </w:pPr>
                  <w:r>
                    <w:rPr>
                      <w:color w:val="000000"/>
                      <w:szCs w:val="21"/>
                    </w:rPr>
                    <w:t>m</w:t>
                  </w:r>
                  <w:r>
                    <w:rPr>
                      <w:color w:val="000000"/>
                      <w:szCs w:val="21"/>
                      <w:vertAlign w:val="superscript"/>
                    </w:rPr>
                    <w:t>2</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1000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5</w:t>
                  </w:r>
                </w:p>
              </w:tc>
              <w:tc>
                <w:tcPr>
                  <w:tcW w:w="3522" w:type="dxa"/>
                  <w:gridSpan w:val="2"/>
                  <w:tcBorders>
                    <w:tl2br w:val="nil"/>
                    <w:tr2bl w:val="nil"/>
                  </w:tcBorders>
                  <w:vAlign w:val="center"/>
                </w:tcPr>
                <w:p>
                  <w:pPr>
                    <w:spacing w:line="360" w:lineRule="exact"/>
                    <w:jc w:val="center"/>
                    <w:rPr>
                      <w:color w:val="000000"/>
                      <w:szCs w:val="21"/>
                    </w:rPr>
                  </w:pPr>
                  <w:r>
                    <w:rPr>
                      <w:color w:val="000000"/>
                      <w:szCs w:val="21"/>
                    </w:rPr>
                    <w:t>劳动定员</w:t>
                  </w:r>
                </w:p>
              </w:tc>
              <w:tc>
                <w:tcPr>
                  <w:tcW w:w="2098" w:type="dxa"/>
                  <w:tcBorders>
                    <w:tl2br w:val="nil"/>
                    <w:tr2bl w:val="nil"/>
                  </w:tcBorders>
                  <w:vAlign w:val="center"/>
                </w:tcPr>
                <w:p>
                  <w:pPr>
                    <w:spacing w:line="360" w:lineRule="exact"/>
                    <w:jc w:val="center"/>
                    <w:rPr>
                      <w:color w:val="000000"/>
                      <w:szCs w:val="21"/>
                    </w:rPr>
                  </w:pPr>
                  <w:r>
                    <w:rPr>
                      <w:color w:val="000000"/>
                      <w:szCs w:val="21"/>
                    </w:rPr>
                    <w:t>人</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12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5.1</w:t>
                  </w:r>
                </w:p>
              </w:tc>
              <w:tc>
                <w:tcPr>
                  <w:tcW w:w="3522" w:type="dxa"/>
                  <w:gridSpan w:val="2"/>
                  <w:tcBorders>
                    <w:tl2br w:val="nil"/>
                    <w:tr2bl w:val="nil"/>
                  </w:tcBorders>
                </w:tcPr>
                <w:p>
                  <w:pPr>
                    <w:tabs>
                      <w:tab w:val="left" w:pos="4395"/>
                    </w:tabs>
                    <w:spacing w:line="360" w:lineRule="exact"/>
                    <w:jc w:val="center"/>
                    <w:rPr>
                      <w:bCs/>
                      <w:color w:val="000000"/>
                      <w:szCs w:val="21"/>
                    </w:rPr>
                  </w:pPr>
                  <w:r>
                    <w:rPr>
                      <w:bCs/>
                      <w:color w:val="000000"/>
                      <w:szCs w:val="21"/>
                    </w:rPr>
                    <w:t>管理人员</w:t>
                  </w:r>
                </w:p>
              </w:tc>
              <w:tc>
                <w:tcPr>
                  <w:tcW w:w="2098" w:type="dxa"/>
                  <w:tcBorders>
                    <w:tl2br w:val="nil"/>
                    <w:tr2bl w:val="nil"/>
                  </w:tcBorders>
                  <w:vAlign w:val="center"/>
                </w:tcPr>
                <w:p>
                  <w:pPr>
                    <w:spacing w:line="360" w:lineRule="exact"/>
                    <w:jc w:val="center"/>
                    <w:rPr>
                      <w:color w:val="000000"/>
                      <w:szCs w:val="21"/>
                    </w:rPr>
                  </w:pPr>
                  <w:r>
                    <w:rPr>
                      <w:color w:val="000000"/>
                      <w:szCs w:val="21"/>
                    </w:rPr>
                    <w:t>人</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5.2</w:t>
                  </w:r>
                </w:p>
              </w:tc>
              <w:tc>
                <w:tcPr>
                  <w:tcW w:w="3522" w:type="dxa"/>
                  <w:gridSpan w:val="2"/>
                  <w:tcBorders>
                    <w:tl2br w:val="nil"/>
                    <w:tr2bl w:val="nil"/>
                  </w:tcBorders>
                </w:tcPr>
                <w:p>
                  <w:pPr>
                    <w:tabs>
                      <w:tab w:val="left" w:pos="4395"/>
                    </w:tabs>
                    <w:spacing w:line="360" w:lineRule="exact"/>
                    <w:jc w:val="center"/>
                    <w:rPr>
                      <w:bCs/>
                      <w:color w:val="000000"/>
                      <w:szCs w:val="21"/>
                    </w:rPr>
                  </w:pPr>
                  <w:r>
                    <w:rPr>
                      <w:bCs/>
                      <w:color w:val="000000"/>
                      <w:szCs w:val="21"/>
                    </w:rPr>
                    <w:t>生产工人</w:t>
                  </w:r>
                </w:p>
              </w:tc>
              <w:tc>
                <w:tcPr>
                  <w:tcW w:w="2098" w:type="dxa"/>
                  <w:tcBorders>
                    <w:tl2br w:val="nil"/>
                    <w:tr2bl w:val="nil"/>
                  </w:tcBorders>
                  <w:vAlign w:val="center"/>
                </w:tcPr>
                <w:p>
                  <w:pPr>
                    <w:tabs>
                      <w:tab w:val="left" w:pos="4395"/>
                    </w:tabs>
                    <w:spacing w:line="360" w:lineRule="exact"/>
                    <w:jc w:val="center"/>
                    <w:rPr>
                      <w:bCs/>
                      <w:color w:val="000000"/>
                      <w:szCs w:val="21"/>
                    </w:rPr>
                  </w:pPr>
                  <w:r>
                    <w:rPr>
                      <w:bCs/>
                      <w:color w:val="000000"/>
                      <w:szCs w:val="21"/>
                    </w:rPr>
                    <w:t>人</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10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6</w:t>
                  </w:r>
                </w:p>
              </w:tc>
              <w:tc>
                <w:tcPr>
                  <w:tcW w:w="3522" w:type="dxa"/>
                  <w:gridSpan w:val="2"/>
                  <w:tcBorders>
                    <w:tl2br w:val="nil"/>
                    <w:tr2bl w:val="nil"/>
                  </w:tcBorders>
                </w:tcPr>
                <w:p>
                  <w:pPr>
                    <w:tabs>
                      <w:tab w:val="left" w:pos="4395"/>
                    </w:tabs>
                    <w:spacing w:line="360" w:lineRule="exact"/>
                    <w:jc w:val="center"/>
                    <w:rPr>
                      <w:bCs/>
                      <w:color w:val="000000"/>
                      <w:szCs w:val="21"/>
                    </w:rPr>
                  </w:pPr>
                  <w:r>
                    <w:rPr>
                      <w:bCs/>
                      <w:color w:val="000000"/>
                      <w:szCs w:val="21"/>
                    </w:rPr>
                    <w:t>年生产天数</w:t>
                  </w:r>
                </w:p>
              </w:tc>
              <w:tc>
                <w:tcPr>
                  <w:tcW w:w="2098" w:type="dxa"/>
                  <w:tcBorders>
                    <w:tl2br w:val="nil"/>
                    <w:tr2bl w:val="nil"/>
                  </w:tcBorders>
                  <w:vAlign w:val="center"/>
                </w:tcPr>
                <w:p>
                  <w:pPr>
                    <w:spacing w:line="360" w:lineRule="exact"/>
                    <w:jc w:val="center"/>
                    <w:rPr>
                      <w:color w:val="000000"/>
                      <w:szCs w:val="21"/>
                    </w:rPr>
                  </w:pPr>
                  <w:r>
                    <w:rPr>
                      <w:color w:val="000000"/>
                      <w:szCs w:val="21"/>
                    </w:rPr>
                    <w:t>天</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300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423" w:type="dxa"/>
                  <w:tcBorders>
                    <w:tl2br w:val="nil"/>
                    <w:tr2bl w:val="nil"/>
                  </w:tcBorders>
                  <w:vAlign w:val="center"/>
                </w:tcPr>
                <w:p>
                  <w:pPr>
                    <w:spacing w:line="360" w:lineRule="exact"/>
                    <w:jc w:val="center"/>
                    <w:rPr>
                      <w:color w:val="000000"/>
                      <w:szCs w:val="21"/>
                    </w:rPr>
                  </w:pPr>
                  <w:r>
                    <w:rPr>
                      <w:color w:val="000000"/>
                      <w:szCs w:val="21"/>
                    </w:rPr>
                    <w:t>7</w:t>
                  </w:r>
                </w:p>
              </w:tc>
              <w:tc>
                <w:tcPr>
                  <w:tcW w:w="3522" w:type="dxa"/>
                  <w:gridSpan w:val="2"/>
                  <w:tcBorders>
                    <w:tl2br w:val="nil"/>
                    <w:tr2bl w:val="nil"/>
                  </w:tcBorders>
                  <w:vAlign w:val="center"/>
                </w:tcPr>
                <w:p>
                  <w:pPr>
                    <w:spacing w:line="360" w:lineRule="exact"/>
                    <w:jc w:val="center"/>
                    <w:rPr>
                      <w:color w:val="000000"/>
                      <w:szCs w:val="21"/>
                    </w:rPr>
                  </w:pPr>
                  <w:r>
                    <w:rPr>
                      <w:color w:val="000000"/>
                      <w:szCs w:val="21"/>
                    </w:rPr>
                    <w:t>项目总投资</w:t>
                  </w:r>
                </w:p>
              </w:tc>
              <w:tc>
                <w:tcPr>
                  <w:tcW w:w="2098" w:type="dxa"/>
                  <w:tcBorders>
                    <w:tl2br w:val="nil"/>
                    <w:tr2bl w:val="nil"/>
                  </w:tcBorders>
                  <w:vAlign w:val="center"/>
                </w:tcPr>
                <w:p>
                  <w:pPr>
                    <w:spacing w:line="360" w:lineRule="exact"/>
                    <w:jc w:val="center"/>
                    <w:rPr>
                      <w:color w:val="000000"/>
                      <w:szCs w:val="21"/>
                    </w:rPr>
                  </w:pPr>
                  <w:r>
                    <w:rPr>
                      <w:color w:val="000000"/>
                      <w:szCs w:val="21"/>
                    </w:rPr>
                    <w:t>万元</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1000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423" w:type="dxa"/>
                  <w:tcBorders>
                    <w:tl2br w:val="nil"/>
                    <w:tr2bl w:val="nil"/>
                  </w:tcBorders>
                  <w:vAlign w:val="center"/>
                </w:tcPr>
                <w:p>
                  <w:pPr>
                    <w:spacing w:line="360" w:lineRule="exact"/>
                    <w:jc w:val="center"/>
                    <w:rPr>
                      <w:color w:val="000000"/>
                      <w:szCs w:val="21"/>
                    </w:rPr>
                  </w:pPr>
                  <w:r>
                    <w:rPr>
                      <w:rFonts w:hint="eastAsia"/>
                      <w:color w:val="000000"/>
                      <w:szCs w:val="21"/>
                    </w:rPr>
                    <w:t>8</w:t>
                  </w:r>
                </w:p>
              </w:tc>
              <w:tc>
                <w:tcPr>
                  <w:tcW w:w="3522" w:type="dxa"/>
                  <w:gridSpan w:val="2"/>
                  <w:tcBorders>
                    <w:tl2br w:val="nil"/>
                    <w:tr2bl w:val="nil"/>
                  </w:tcBorders>
                  <w:vAlign w:val="center"/>
                </w:tcPr>
                <w:p>
                  <w:pPr>
                    <w:spacing w:line="360" w:lineRule="exact"/>
                    <w:jc w:val="center"/>
                    <w:rPr>
                      <w:color w:val="000000"/>
                      <w:szCs w:val="21"/>
                    </w:rPr>
                  </w:pPr>
                  <w:r>
                    <w:rPr>
                      <w:rFonts w:hint="eastAsia"/>
                      <w:color w:val="000000"/>
                      <w:szCs w:val="21"/>
                    </w:rPr>
                    <w:t>环保投资</w:t>
                  </w:r>
                </w:p>
              </w:tc>
              <w:tc>
                <w:tcPr>
                  <w:tcW w:w="2098" w:type="dxa"/>
                  <w:tcBorders>
                    <w:tl2br w:val="nil"/>
                    <w:tr2bl w:val="nil"/>
                  </w:tcBorders>
                  <w:vAlign w:val="center"/>
                </w:tcPr>
                <w:p>
                  <w:pPr>
                    <w:spacing w:line="360" w:lineRule="exact"/>
                    <w:jc w:val="center"/>
                    <w:rPr>
                      <w:color w:val="000000"/>
                      <w:szCs w:val="21"/>
                    </w:rPr>
                  </w:pPr>
                  <w:r>
                    <w:rPr>
                      <w:color w:val="000000"/>
                      <w:szCs w:val="21"/>
                    </w:rPr>
                    <w:t>万元</w:t>
                  </w:r>
                </w:p>
              </w:tc>
              <w:tc>
                <w:tcPr>
                  <w:tcW w:w="1818" w:type="dxa"/>
                  <w:tcBorders>
                    <w:tl2br w:val="nil"/>
                    <w:tr2bl w:val="nil"/>
                  </w:tcBorders>
                  <w:vAlign w:val="center"/>
                </w:tcPr>
                <w:p>
                  <w:pPr>
                    <w:spacing w:line="360" w:lineRule="exact"/>
                    <w:jc w:val="center"/>
                    <w:rPr>
                      <w:color w:val="000000"/>
                      <w:szCs w:val="21"/>
                    </w:rPr>
                  </w:pPr>
                  <w:r>
                    <w:rPr>
                      <w:rFonts w:hint="eastAsia"/>
                      <w:color w:val="000000"/>
                      <w:szCs w:val="21"/>
                    </w:rPr>
                    <w:t>50</w:t>
                  </w:r>
                </w:p>
              </w:tc>
            </w:tr>
          </w:tbl>
          <w:p>
            <w:pPr>
              <w:spacing w:before="156" w:beforeLines="50" w:line="440" w:lineRule="exact"/>
              <w:rPr>
                <w:color w:val="000000" w:themeColor="text1"/>
                <w:sz w:val="28"/>
                <w:szCs w:val="28"/>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1197" w:hRule="atLeast"/>
        </w:trPr>
        <w:tc>
          <w:tcPr>
            <w:tcW w:w="5000" w:type="pct"/>
            <w:gridSpan w:val="11"/>
            <w:tcBorders>
              <w:top w:val="single" w:color="auto" w:sz="18" w:space="0"/>
              <w:left w:val="single" w:color="auto" w:sz="12" w:space="0"/>
              <w:bottom w:val="single" w:color="auto" w:sz="12" w:space="0"/>
              <w:right w:val="single" w:color="auto" w:sz="12" w:space="0"/>
            </w:tcBorders>
          </w:tcPr>
          <w:p>
            <w:pPr>
              <w:spacing w:line="360" w:lineRule="auto"/>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与本项目有关的原有污染情况及主要环境问题：</w:t>
            </w:r>
          </w:p>
          <w:p>
            <w:pPr>
              <w:tabs>
                <w:tab w:val="left" w:pos="2660"/>
              </w:tabs>
              <w:snapToGrid w:val="0"/>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本项目为新建项目，位于</w:t>
            </w:r>
            <w:r>
              <w:rPr>
                <w:rFonts w:hint="eastAsia"/>
                <w:bCs/>
                <w:color w:val="000000" w:themeColor="text1"/>
                <w:sz w:val="24"/>
                <w14:textFill>
                  <w14:solidFill>
                    <w14:schemeClr w14:val="tx1"/>
                  </w14:solidFill>
                </w14:textFill>
              </w:rPr>
              <w:t>山西省忻州市宁武县凤凰镇前石湖村约东南560m</w:t>
            </w:r>
            <w:r>
              <w:rPr>
                <w:rFonts w:hint="eastAsia"/>
                <w:color w:val="000000" w:themeColor="text1"/>
                <w:sz w:val="24"/>
                <w14:textFill>
                  <w14:solidFill>
                    <w14:schemeClr w14:val="tx1"/>
                  </w14:solidFill>
                </w14:textFill>
              </w:rPr>
              <w:t>处，厂址为工业用地，无与本项目有关的原有污染情况及主要环境问题，本项目要求厂区平整硬化。</w:t>
            </w: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ind w:firstLine="480"/>
              <w:rPr>
                <w:color w:val="000000" w:themeColor="text1"/>
                <w:sz w:val="24"/>
                <w14:textFill>
                  <w14:solidFill>
                    <w14:schemeClr w14:val="tx1"/>
                  </w14:solidFill>
                </w14:textFill>
              </w:rPr>
            </w:pPr>
          </w:p>
          <w:p>
            <w:pPr>
              <w:tabs>
                <w:tab w:val="left" w:pos="2660"/>
              </w:tabs>
              <w:snapToGrid w:val="0"/>
              <w:spacing w:line="480" w:lineRule="exact"/>
              <w:rPr>
                <w:color w:val="000000" w:themeColor="text1"/>
                <w:sz w:val="24"/>
                <w14:textFill>
                  <w14:solidFill>
                    <w14:schemeClr w14:val="tx1"/>
                  </w14:solidFill>
                </w14:textFill>
              </w:rPr>
            </w:pPr>
          </w:p>
        </w:tc>
      </w:tr>
    </w:tbl>
    <w:p>
      <w:pPr>
        <w:spacing w:line="360" w:lineRule="auto"/>
        <w:ind w:left="-126" w:leftChars="-60"/>
        <w:rPr>
          <w:rFonts w:eastAsia="黑体"/>
          <w:color w:val="000000" w:themeColor="text1"/>
          <w:sz w:val="30"/>
          <w:szCs w:val="30"/>
          <w14:textFill>
            <w14:solidFill>
              <w14:schemeClr w14:val="tx1"/>
            </w14:solidFill>
          </w14:textFill>
        </w:rPr>
        <w:sectPr>
          <w:footerReference r:id="rId6" w:type="default"/>
          <w:pgSz w:w="11906" w:h="16838"/>
          <w:pgMar w:top="1418" w:right="1440" w:bottom="1418" w:left="1440" w:header="851" w:footer="992" w:gutter="0"/>
          <w:pgNumType w:start="1"/>
          <w:cols w:space="425" w:num="1"/>
          <w:docGrid w:type="lines" w:linePitch="312" w:charSpace="0"/>
        </w:sectPr>
      </w:pPr>
    </w:p>
    <w:p>
      <w:pPr>
        <w:spacing w:line="360" w:lineRule="auto"/>
        <w:ind w:left="-126" w:leftChars="-60"/>
        <w:outlineLvl w:val="0"/>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建设项目所在地自然环境</w:t>
      </w:r>
      <w:r>
        <w:rPr>
          <w:rFonts w:hint="eastAsia" w:eastAsia="黑体"/>
          <w:color w:val="000000" w:themeColor="text1"/>
          <w:sz w:val="30"/>
          <w:szCs w:val="30"/>
          <w14:textFill>
            <w14:solidFill>
              <w14:schemeClr w14:val="tx1"/>
            </w14:solidFill>
          </w14:textFill>
        </w:rPr>
        <w:t>概况</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3" w:hRule="atLeast"/>
          <w:jc w:val="center"/>
        </w:trPr>
        <w:tc>
          <w:tcPr>
            <w:tcW w:w="9175" w:type="dxa"/>
          </w:tcPr>
          <w:p>
            <w:pPr>
              <w:pStyle w:val="45"/>
              <w:spacing w:line="520" w:lineRule="exact"/>
              <w:rPr>
                <w:rFonts w:eastAsia="黑体"/>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自然环境简况（地形、地貌、地质、气候、水文、植被、生物多样性等）：</w:t>
            </w:r>
          </w:p>
          <w:p>
            <w:pPr>
              <w:spacing w:line="480" w:lineRule="exact"/>
              <w:rPr>
                <w:rFonts w:hAnsi="黑体" w:eastAsia="黑体"/>
                <w:color w:val="000000" w:themeColor="text1"/>
                <w:sz w:val="24"/>
                <w14:textFill>
                  <w14:solidFill>
                    <w14:schemeClr w14:val="tx1"/>
                  </w14:solidFill>
                </w14:textFill>
              </w:rPr>
            </w:pPr>
            <w:bookmarkStart w:id="0" w:name="_Toc225576653"/>
            <w:bookmarkStart w:id="1" w:name="_Toc225153261"/>
            <w:bookmarkStart w:id="2" w:name="_Toc187656470"/>
            <w:bookmarkStart w:id="3" w:name="_Toc225153457"/>
            <w:r>
              <w:rPr>
                <w:rFonts w:hint="eastAsia" w:hAnsi="黑体" w:eastAsia="黑体"/>
                <w:color w:val="000000" w:themeColor="text1"/>
                <w:sz w:val="24"/>
                <w14:textFill>
                  <w14:solidFill>
                    <w14:schemeClr w14:val="tx1"/>
                  </w14:solidFill>
                </w14:textFill>
              </w:rPr>
              <w:t>2.1地理位置</w:t>
            </w:r>
          </w:p>
          <w:p>
            <w:pPr>
              <w:autoSpaceDE w:val="0"/>
              <w:autoSpaceDN w:val="0"/>
              <w:adjustRightInd w:val="0"/>
              <w:snapToGrid w:val="0"/>
              <w:spacing w:line="480" w:lineRule="exact"/>
              <w:ind w:firstLine="472" w:firstLineChars="200"/>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宁武县位于山西省北中部，东经111°50′至120°40′，北纬38°31′至39°8′之间，县北境以内长城为边，与朔州相邻；西北以黄花岭为界，与神池接壤；西南以荷叶坪山、芦芽山为屏，与五寨、苛岚隔山相望；南部与静乐相衔，东南以云中山与忻州分界；而东部与原平相通。县境南北长105公里，东西平均宽45公里，总面积1987.7平方公里。</w:t>
            </w:r>
          </w:p>
          <w:p>
            <w:pPr>
              <w:autoSpaceDE w:val="0"/>
              <w:autoSpaceDN w:val="0"/>
              <w:adjustRightInd w:val="0"/>
              <w:snapToGrid w:val="0"/>
              <w:spacing w:line="480" w:lineRule="exact"/>
              <w:ind w:firstLine="480" w:firstLineChars="200"/>
              <w:rPr>
                <w:color w:val="000000" w:themeColor="text1"/>
                <w:kern w:val="0"/>
                <w:sz w:val="24"/>
                <w14:textFill>
                  <w14:solidFill>
                    <w14:schemeClr w14:val="tx1"/>
                  </w14:solidFill>
                </w14:textFill>
              </w:rPr>
            </w:pPr>
            <w:r>
              <w:rPr>
                <w:rFonts w:hint="eastAsia"/>
                <w:bCs/>
                <w:color w:val="000000" w:themeColor="text1"/>
                <w:sz w:val="24"/>
                <w14:textFill>
                  <w14:solidFill>
                    <w14:schemeClr w14:val="tx1"/>
                  </w14:solidFill>
                </w14:textFill>
              </w:rPr>
              <w:t>宁武县华盛储售煤有限公司型煤生产项目</w:t>
            </w:r>
            <w:r>
              <w:rPr>
                <w:rFonts w:hint="eastAsia"/>
                <w:color w:val="000000" w:themeColor="text1"/>
                <w:kern w:val="0"/>
                <w:sz w:val="24"/>
                <w14:textFill>
                  <w14:solidFill>
                    <w14:schemeClr w14:val="tx1"/>
                  </w14:solidFill>
                </w14:textFill>
              </w:rPr>
              <w:t>位于</w:t>
            </w:r>
            <w:r>
              <w:rPr>
                <w:rFonts w:hint="eastAsia"/>
                <w:bCs/>
                <w:color w:val="000000" w:themeColor="text1"/>
                <w:sz w:val="24"/>
                <w14:textFill>
                  <w14:solidFill>
                    <w14:schemeClr w14:val="tx1"/>
                  </w14:solidFill>
                </w14:textFill>
              </w:rPr>
              <w:t>山西省忻州市宁武县凤凰镇前石湖村约东南560m处</w:t>
            </w:r>
            <w:r>
              <w:rPr>
                <w:rFonts w:hint="eastAsia"/>
                <w:color w:val="000000" w:themeColor="text1"/>
                <w:kern w:val="0"/>
                <w:sz w:val="24"/>
                <w14:textFill>
                  <w14:solidFill>
                    <w14:schemeClr w14:val="tx1"/>
                  </w14:solidFill>
                </w14:textFill>
              </w:rPr>
              <w:t>，地理坐标为东经：112°20′3.34394″，北纬：39°2′14.18428″。具体位置见附图1。</w:t>
            </w:r>
          </w:p>
          <w:bookmarkEnd w:id="0"/>
          <w:bookmarkEnd w:id="1"/>
          <w:bookmarkEnd w:id="2"/>
          <w:bookmarkEnd w:id="3"/>
          <w:p>
            <w:pPr>
              <w:autoSpaceDE w:val="0"/>
              <w:autoSpaceDN w:val="0"/>
              <w:adjustRightInd w:val="0"/>
              <w:snapToGrid w:val="0"/>
              <w:spacing w:line="480" w:lineRule="exact"/>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2.</w:t>
            </w:r>
            <w:r>
              <w:rPr>
                <w:rFonts w:hint="eastAsia"/>
                <w:b/>
                <w:color w:val="000000" w:themeColor="text1"/>
                <w:kern w:val="0"/>
                <w:sz w:val="24"/>
                <w14:textFill>
                  <w14:solidFill>
                    <w14:schemeClr w14:val="tx1"/>
                  </w14:solidFill>
                </w14:textFill>
              </w:rPr>
              <w:t>2</w:t>
            </w:r>
            <w:r>
              <w:rPr>
                <w:b/>
                <w:color w:val="000000" w:themeColor="text1"/>
                <w:kern w:val="0"/>
                <w:sz w:val="24"/>
                <w14:textFill>
                  <w14:solidFill>
                    <w14:schemeClr w14:val="tx1"/>
                  </w14:solidFill>
                </w14:textFill>
              </w:rPr>
              <w:t>地形地貌</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宁武地处晋西北黄土高原东部边沿，境内山峰高耸，群山林立，平均海拔1800～2000米，西部有管涔山，主峰芦芽山海拔2736米，东部云中山，海拔2654米，主要山脉呈东北、西南走向。中部以分水岭为界，向西南为汾河流域。向东北为恢河流域。</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本区位于云中山脉北端与恒山山脉西南端的交汇部分，为典型的黄土、基岩切割型中低山区地形地貌。井田位于云中山脉北端与恒山山脉西南端的交汇处，为典型的黄土、 基岩切割型中山～丘陵地形地貎，井田内沟谷山梁发育，按其形态类型分 为侵蚀地形及堆积型地形，前者占绝对优势。</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侵蚀地形表现为强烈切割的梁、塬、峁状黄土基岩中低山地或山丘， 冲沟形态多呈“V”形，与梁、塬、峁相间分布，井田沟谷两侧常见陡崖等 微地貎景观，一般沟两侧或阳坡黄土覆盖较厚，植被较多。</w:t>
            </w:r>
          </w:p>
          <w:p>
            <w:pPr>
              <w:spacing w:line="480" w:lineRule="exact"/>
              <w:rPr>
                <w:rFonts w:hAnsi="黑体"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2.3气候特征</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区地处晋北黄土、基岩切割的中低山区，属大陆性中温带季风气候，为干旱地区。气温变化昼夜悬殊，四季分明。降雨量较小，多呈干旱状态，冬春两季多西北风少雪雨，而夏季雨量集中，有时出现洪水灾害。各项气象要素特征如下：</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气压：11月最高，平均为891．1mb，7月份最低，为877．6mb，全年平均值885．3mb。</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气温：年平均气温～6.2℃，1月份最低，平均为～9.9℃，极值为～28.O℃；7月份最高，平均为20℃，极值为30℃，平均温差29.9℃。一般降至O℃时间在10月中旬，回升至O℃的时间在翌年4月中旬。</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降水量及蒸发量：平均年降水量为470.9mm，各季降水占全年降水量的百分比为：春季13%，夏季65%，秋季20%，冬季2%，在历年记录中，降水年际变化十分明显。最多年降水量710.5mm（1959），最少为226.1,mm(1965年)，一日最大降水量100mm。蒸发量年平均值为1902.3m，蒸发量大于降雨量，气候特别干燥。</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风向及风速：风向多为西北及西风，风速历年平均3.1m／s，最大月(3—5月)平均4.3m／s，最小月(8月)平均2.2m／s。</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霜期、雪期及冻土期：初霜期在10月上旬，终霜期在翌年3月底，平均无霜期194天。初雪期平均为11月下旬，终雪期为翌年3月底，一次最大积雪厚度为0.3m。最早冻结在11月中旬，最晚解冻为翌年4月1日，矿田内最大冻土深度1.50m。</w:t>
            </w:r>
          </w:p>
          <w:p>
            <w:pPr>
              <w:spacing w:line="480" w:lineRule="exact"/>
              <w:rPr>
                <w:rFonts w:hAnsi="黑体"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2.4河流水系</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宁武县境内河流分属汾河、桑干河两大水系。汾河主流发源于县境东寨附近；桑干河上游恢河发源于管涔山之天池，向北流经大同盆地。全县水资源总量为0.799亿m</w:t>
            </w:r>
            <w:r>
              <w:rPr>
                <w:rFonts w:hint="eastAsia"/>
                <w:color w:val="000000" w:themeColor="text1"/>
                <w:spacing w:val="-2"/>
                <w:sz w:val="24"/>
                <w:vertAlign w:val="superscript"/>
                <w14:textFill>
                  <w14:solidFill>
                    <w14:schemeClr w14:val="tx1"/>
                  </w14:solidFill>
                </w14:textFill>
              </w:rPr>
              <w:t>3</w:t>
            </w:r>
            <w:r>
              <w:rPr>
                <w:rFonts w:hint="eastAsia"/>
                <w:color w:val="000000" w:themeColor="text1"/>
                <w:spacing w:val="-2"/>
                <w:sz w:val="24"/>
                <w14:textFill>
                  <w14:solidFill>
                    <w14:schemeClr w14:val="tx1"/>
                  </w14:solidFill>
                </w14:textFill>
              </w:rPr>
              <w:t>，其中地面水0.4592亿m</w:t>
            </w:r>
            <w:r>
              <w:rPr>
                <w:rFonts w:hint="eastAsia"/>
                <w:color w:val="000000" w:themeColor="text1"/>
                <w:spacing w:val="-2"/>
                <w:sz w:val="24"/>
                <w:vertAlign w:val="superscript"/>
                <w14:textFill>
                  <w14:solidFill>
                    <w14:schemeClr w14:val="tx1"/>
                  </w14:solidFill>
                </w14:textFill>
              </w:rPr>
              <w:t>3</w:t>
            </w:r>
            <w:r>
              <w:rPr>
                <w:rFonts w:hint="eastAsia"/>
                <w:color w:val="000000" w:themeColor="text1"/>
                <w:spacing w:val="-2"/>
                <w:sz w:val="24"/>
                <w14:textFill>
                  <w14:solidFill>
                    <w14:schemeClr w14:val="tx1"/>
                  </w14:solidFill>
                </w14:textFill>
              </w:rPr>
              <w:t>，地下水0.39亿m</w:t>
            </w:r>
            <w:r>
              <w:rPr>
                <w:rFonts w:hint="eastAsia"/>
                <w:color w:val="000000" w:themeColor="text1"/>
                <w:spacing w:val="-2"/>
                <w:sz w:val="24"/>
                <w:vertAlign w:val="superscript"/>
                <w14:textFill>
                  <w14:solidFill>
                    <w14:schemeClr w14:val="tx1"/>
                  </w14:solidFill>
                </w14:textFill>
              </w:rPr>
              <w:t>3</w:t>
            </w:r>
            <w:r>
              <w:rPr>
                <w:rFonts w:hint="eastAsia"/>
                <w:color w:val="000000" w:themeColor="text1"/>
                <w:spacing w:val="-2"/>
                <w:sz w:val="24"/>
                <w14:textFill>
                  <w14:solidFill>
                    <w14:schemeClr w14:val="tx1"/>
                  </w14:solidFill>
                </w14:textFill>
              </w:rPr>
              <w:t>。</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项目所在区域地表河流主要为宁武第三大河——恢河，属海河流域桑干河水系，源于余庄乡分水岭脚下。县境内长32km，流域面积301km</w:t>
            </w:r>
            <w:r>
              <w:rPr>
                <w:rFonts w:hint="eastAsia"/>
                <w:color w:val="000000" w:themeColor="text1"/>
                <w:spacing w:val="-2"/>
                <w:sz w:val="24"/>
                <w:vertAlign w:val="superscript"/>
                <w14:textFill>
                  <w14:solidFill>
                    <w14:schemeClr w14:val="tx1"/>
                  </w14:solidFill>
                </w14:textFill>
              </w:rPr>
              <w:t>2</w:t>
            </w:r>
            <w:r>
              <w:rPr>
                <w:rFonts w:hint="eastAsia"/>
                <w:color w:val="000000" w:themeColor="text1"/>
                <w:spacing w:val="-2"/>
                <w:sz w:val="24"/>
                <w14:textFill>
                  <w14:solidFill>
                    <w14:schemeClr w14:val="tx1"/>
                  </w14:solidFill>
                </w14:textFill>
              </w:rPr>
              <w:t>，平均纵坡1%。平均清水流量0.1m</w:t>
            </w:r>
            <w:r>
              <w:rPr>
                <w:rFonts w:hint="eastAsia"/>
                <w:color w:val="000000" w:themeColor="text1"/>
                <w:spacing w:val="-2"/>
                <w:sz w:val="24"/>
                <w:vertAlign w:val="superscript"/>
                <w14:textFill>
                  <w14:solidFill>
                    <w14:schemeClr w14:val="tx1"/>
                  </w14:solidFill>
                </w14:textFill>
              </w:rPr>
              <w:t>3</w:t>
            </w:r>
            <w:r>
              <w:rPr>
                <w:rFonts w:hint="eastAsia"/>
                <w:color w:val="000000" w:themeColor="text1"/>
                <w:spacing w:val="-2"/>
                <w:sz w:val="24"/>
                <w14:textFill>
                  <w14:solidFill>
                    <w14:schemeClr w14:val="tx1"/>
                  </w14:solidFill>
                </w14:textFill>
              </w:rPr>
              <w:t>/s。夏秋河水较大，枯水期常呈断流。1959年于阳方口桥处实测，河宽180m，平均水深0.81m，洪峰流量500 m</w:t>
            </w:r>
            <w:r>
              <w:rPr>
                <w:rFonts w:hint="eastAsia"/>
                <w:color w:val="000000" w:themeColor="text1"/>
                <w:spacing w:val="-2"/>
                <w:sz w:val="24"/>
                <w:vertAlign w:val="superscript"/>
                <w14:textFill>
                  <w14:solidFill>
                    <w14:schemeClr w14:val="tx1"/>
                  </w14:solidFill>
                </w14:textFill>
              </w:rPr>
              <w:t>3</w:t>
            </w:r>
            <w:r>
              <w:rPr>
                <w:rFonts w:hint="eastAsia"/>
                <w:color w:val="000000" w:themeColor="text1"/>
                <w:spacing w:val="-2"/>
                <w:sz w:val="24"/>
                <w14:textFill>
                  <w14:solidFill>
                    <w14:schemeClr w14:val="tx1"/>
                  </w14:solidFill>
                </w14:textFill>
              </w:rPr>
              <w:t>/s。恢河常年流水，经宁武县往北流入朔州市朔城区后汇入桑干河。其他河流（七里河、元子河等）除雨季外，均常年干涸。</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距离本项目最近的地表水体为项目北侧310m处的石湖河，属于恢河支流。区域地表水系见附图4。</w:t>
            </w:r>
          </w:p>
          <w:p>
            <w:pPr>
              <w:spacing w:line="480" w:lineRule="exact"/>
              <w:rPr>
                <w:rFonts w:hAnsi="黑体"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2.5水文地质</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①汾河流域</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东寨以北地层属寒武奥陶纪，仅在大小石洞与汾河间夹有一小块太古代地层。寒武奥陶纪岩层以石灰岩为主，石灰岩下部常夹有粘板岩层，极小地区的下部略见沙岩。太古代岩层中以花岗岩、片麻岩为主，夹有伟晶花岗岩及石英岩，顶端有结晶片岩。东寨以南，有一条起于东北石嘴头，止于西南静乐县境内的石炭二迭纪地层，其余则为三迭二迭纪地层。圪廖沟掌以上沿分水岭向南，有一块侏罗纪地层。芦芽山一带有一条太古代岩层。石炭二迭纪岩层中以沙岩、页岩为主，多呈互层。一般沙岩岩层较厚，页岩较薄。侏罗纪岩层中以红色沙岩为主，常夹有薄层页岩，有时夹有不厚的煤层，多形成不透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区境内地下水的主要补给来源为地面降水。东寨以西各沟道中，石灰岩堆积物较多，森林茂密，降水部一部分变为地表水径流泄走外，其余大部分从岩石缝隙中渗入地下，形成地下水。有的成为泉水出露，汾源即属此类。汾源以上及其附近地下水埋藏很深，水量甚微。如春景洼乡麻地沟村，人畜饮用冰雪雨水。1978年县钻井队打井探测，进深102米，应水量小而报废。1979年又在东寨镇寺耳沟大队钻探，进深195米，提出水量够人畜饮用。综观汾河干流、洪河干流两岸及其较大支流，为地下水富集地带，其余为贫乏地带。根据大气降水渗入法计算，其入渗量每年为1.3亿立方米。</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②恢河流域</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从分水岭到阳方口左侧绝大部分为三迭二迭纪地层。从小木场到岭沟附近，属石灰二迭纪，其余大部分为侏罗纪。石炭二迭纪岩层中以石灰岩和页岩为主，石灰岩多为薄层状，与页岩间往往夹有煤层或其他矿物。侏罗纪岩层中以红色沙岩为主，并夹有薄层页岩，间或夹有不厚的煤层。此种地层往往是较好的不透水层。该区域绝大部分降水变为地表径流，入渗很少，每年渗入量为2.8万立方米。</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③含水层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1）第四系松散岩类孔隙含水层组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松散岩类含水层岩性主要为第四系残坡积物及亚砂土，广泛分布于井田内大部分沟谷、坡梁之上，地下水赋存于砂砾石孔隙中，主要接受大气降水和地表水入渗补给，一般雨季含水，平时含水极弱，径流条件好、富水性弱、径流途径短，排泄于河谷中，部分消耗于人工开发。由于地下水埋藏浅，该含水层在本区不发育。</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2）二叠系碎屑岩类裂隙含水层组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主要岩性为含砾粗砂岩、中粗、中细粒砂岩，为主要含水层，因含水层夹在泥岩、砂质泥岩等隔水层中，补给条件差，只靠裂隙、大气降水和第四系松散层潜水的渗透补给，故含水性弱。</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(1) 山西组碎屑岩裂隙含水层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组含水层为2号煤层的主要充水水源，根据井田南大运华盛石湖南沟井田水文孔抽水试验及水质化验成果，单位涌水量0.019L/s·m，渗透系数0.034m/d，水质类型为HCO3·SO4-Ca·Mg型，矿化度0.6924g/L，PH值8.05。富水性弱，属弱含水岩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(2) 下石盒子组碎屑岩裂隙含水层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下石盒子组地层在本区发育不完整，其下段上部地层因风化剥蚀而缺失，在井田中南部较多出露，可接受部分大气降水补给，同时还接受第四系松散层潜水的渗透补给，富水性弱。</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3）石炭系碎屑岩类夹碳酸盐岩含水层组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含水层组由石炭系中统本溪组和上统太原组砂岩及薄层灰岩组成，与页岩、砂质页岩隔水层相间沉积，构成多层承压含水层组。含水层厚度薄，出露面积小，补给条件差，主要接受大气降水补给，局部接受地表水补给。无构造沟通时，各含水层无水力联系，根据井田南大运华盛石湖南沟井田水文孔抽水试验及水质化验成果，单位涌水量0.019L/s·m，渗透系数0.034m/d，水质类型为HCO3·SO4-Ca·Mg型，矿化度0.6924g/L，PH值8.05。富水性弱，属弱含水岩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4）碳酸盐岩类岩溶裂隙含水岩组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本组由奥陶系中统上马家沟组的石灰岩、白云质灰岩、角砾状、豹皮状灰岩、泥质灰岩等组成。井田西北部、北部出露。地下水位大都在区域侵蚀基准面之下，属深埋强富水区。</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本项目属神头泉岩溶区域，奥灰水流向北东，</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④隔水层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1）本溪组隔水层：主要为泥岩、砂质泥岩、铝土岩、铁铝岩，是奥陶系岩溶水与上覆煤层之间良好的隔水层。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2）石炭～二叠系隔水层：主要为泥岩、砂质泥岩、粉砂质泥岩，致密，不透水，构造裂隙不发育，构成各含水层间良好的隔水层。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⑤地下水的补给，径流和排泄条件</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奥陶系中统的石灰岩在井田北部出露，岩溶发育，直接受降水补给，同时也受河水和冲积层潜水补给，富水性强。一般由补给区向北西方向运移，受神头泉泉域控制，最终汇入桑干河流域一带，以泉水形式排泄。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碎屑岩类裂隙水的补给主要来自于大气降水，垂直入渗为主，一般沿地层倾斜方向运移，部分在径流过程中，沿切割较深的沟谷处以泉的形式排泄。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松散岩类孔隙含水层的地下水，由大气降水直接补给，径流方向与地表水的径流方向一致，主要以垂直入渗为主，下渗补给碎屑岩裂隙岩组地层。</w:t>
            </w:r>
          </w:p>
          <w:p>
            <w:pPr>
              <w:spacing w:line="480" w:lineRule="exact"/>
              <w:rPr>
                <w:rFonts w:hAnsi="黑体"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2.6神头泉域</w:t>
            </w:r>
          </w:p>
          <w:p>
            <w:pPr>
              <w:snapToGrid w:val="0"/>
              <w:spacing w:line="480" w:lineRule="exact"/>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①泉域概况：神头泉域位于朔州市盆地区北部神头、司马泊、新磨一带，泉群沿源子河河道及两岸出露，分布面约5 km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,主要由神头泉组、司马泊泉组、河道泉组三个泉组组成，出露标高1044-1053，为一构造上升泉，，是海河流域永定河水系主流桑干河清水之源。神头泉多年平均流量6.74m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/s（1956～2003年）。水质类型为HCO</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Ca·Mg型，矿化度285～360mg/L，总硬度232～277mg/L，水温13℃～15℃，岩溶水水质总体良好,局部受浅层、中层地下水影响，已不同程度地受到污染，泉域三北、西、南三面环册，决定了岩溶水由西北、南向盆地迳流汇集，在神头源子河谷一带岩溶水受阻于盆地第四系松散层较薄地段涌出地表成泉，属山前断裂非全排型溢流泉。</w:t>
            </w:r>
          </w:p>
          <w:p>
            <w:pPr>
              <w:snapToGrid w:val="0"/>
              <w:spacing w:line="480" w:lineRule="exact"/>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泉域范围：东部边界：南段：受马邑断层控制，断层呈阶梯状，埋深依次加大，断层以东埋深达800-1000米，上覆新生界地层主要由砂质粘土和粘土组成，隔水性良好，构成了阻水边界，自北向南为朔肥的大夫庄-福善庄-神武村-保全庄。北段：自北向南为马道头—偏岭—甘庄—大羊村—大夫庄一线。北部边界：在小京庄—平鲁城—杨家窑一线，自西向东为杨家坪—平鲁城—义井镇—麻黄头村—何家庄—高家堡—元堡子—小京庄。西部边界：北段：以断层及黑驼山地表分水岭为界。自北向南由杨家窑—刘家窑—下水头—暖崖东。南段：由暖崖东—大严备—义井镇—油梁沟，与天桥泉为界。南部边界：西段以神池县南部两条北东东向断层及近南北向摩天岭断屋与雷鸣寺泉为界，自西向东由五寨大东沟—刘新峁疙旦—春景洼，东南段K以宁开向斜轴结合地表水分水岭的联线为界。自西向东由榆庄—冯家谚—汪铁沟—神堂沟—薛家窳—盘道梁。</w:t>
            </w:r>
          </w:p>
          <w:p>
            <w:pPr>
              <w:snapToGrid w:val="0"/>
              <w:spacing w:line="480" w:lineRule="exact"/>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泉域总面积为4756km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泉域裸露可溶岩面积约2990km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,重点保护区面积为50km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，包括神头泉域群、神头电厂水源地，耿庄水源地，神头电厂。</w:t>
            </w:r>
          </w:p>
          <w:p>
            <w:pPr>
              <w:snapToGrid w:val="0"/>
              <w:spacing w:line="480" w:lineRule="exact"/>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本工程不在泉域的重点保护区，泉域与本工程的位置关系见图5。</w:t>
            </w:r>
          </w:p>
          <w:p>
            <w:pPr>
              <w:spacing w:line="480" w:lineRule="exact"/>
              <w:rPr>
                <w:rFonts w:hAnsi="黑体"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2.7县城水源地</w:t>
            </w:r>
          </w:p>
          <w:p>
            <w:pPr>
              <w:snapToGrid w:val="0"/>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距离项目最近的城镇饮用水水源地是宁武县后备水源地，该水源地位于项目西南侧4.1km。根据《宁武县饮用水水源地保护区划分技术报告》，该水源地含有2口水井，只划定一级保护区，不划定二级保护区，一级保护区半径取200m，保护区范围0.3k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p>
          <w:p>
            <w:pPr>
              <w:snapToGrid w:val="0"/>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距离项目最近的乡镇饮用水水源地是薛家洼乡引泉工程集中供水，该水源地位于项目东北侧约6.5km处。泉水只设一级保护区，一级保护区半径60m。</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z w:val="24"/>
                <w14:textFill>
                  <w14:solidFill>
                    <w14:schemeClr w14:val="tx1"/>
                  </w14:solidFill>
                </w14:textFill>
              </w:rPr>
              <w:t>本项目不在上述水源地范围内</w:t>
            </w:r>
            <w:r>
              <w:rPr>
                <w:rFonts w:hint="eastAsia"/>
                <w:color w:val="000000" w:themeColor="text1"/>
                <w:spacing w:val="-2"/>
                <w:sz w:val="24"/>
                <w14:textFill>
                  <w14:solidFill>
                    <w14:schemeClr w14:val="tx1"/>
                  </w14:solidFill>
                </w14:textFill>
              </w:rPr>
              <w:t>。</w:t>
            </w:r>
          </w:p>
          <w:p>
            <w:pPr>
              <w:spacing w:line="480" w:lineRule="exact"/>
              <w:rPr>
                <w:rFonts w:hAnsi="黑体"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2.8土壤</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全县耕地面积47399.6公顷，占全县总面积的24.49%，本地区土壤主要为黑毡土、潮棕土、褐土、灰褐土五个分类，不饱和黑毡土、不饱和潮棕土、山地棕壤、山地生草棕壤、棕壤性土、淋溶褐土等十五个亚类。</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本地区以淡栗钙土性土为主，土质偏砂，植物残留体不多，土体干旱，通风良好，有机质分解快而积累少，碳酸盐含量较大。区内土壤总体表现为水力肥力差，土地生产力低的特点。</w:t>
            </w:r>
          </w:p>
          <w:p>
            <w:pPr>
              <w:spacing w:line="480" w:lineRule="exact"/>
              <w:rPr>
                <w:rFonts w:hAnsi="黑体"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2.9植被</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宁武多林，素有华北落叶松故乡之称。以宁武为中心的管涔山临朐的天然次生林林相为华北之最，地处我国三北防护林体系中段，也是山西省著名水源涵养用材林基地。</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县内共有乔木15种，华北落叶松、云杉、小叶云杉、油松、侧柏、山杨、黄榆、山柳、栎、白桦、赤桦、杜梨、山槐、山胡桃、杜松。常见灌木有40余种，境内藤木仅有两种，即山常山和草籐，草本约500~1000种，多产中草药。</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县内农作物以高寒作物为主。莜麦、山药、豌豆、胡麻为宁武的四大作物。</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森林以华北落叶松和云杉为主，是我省最好的天然次生林和森林林相最好的林相之一。全县现在森林面积69.82万亩，森林覆盖率为27.8%，森林蓄积量为477.4万m</w:t>
            </w:r>
            <w:r>
              <w:rPr>
                <w:rFonts w:hint="eastAsia"/>
                <w:color w:val="000000" w:themeColor="text1"/>
                <w:spacing w:val="-2"/>
                <w:sz w:val="24"/>
                <w:vertAlign w:val="superscript"/>
                <w14:textFill>
                  <w14:solidFill>
                    <w14:schemeClr w14:val="tx1"/>
                  </w14:solidFill>
                </w14:textFill>
              </w:rPr>
              <w:t>3</w:t>
            </w:r>
            <w:r>
              <w:rPr>
                <w:rFonts w:hint="eastAsia"/>
                <w:color w:val="000000" w:themeColor="text1"/>
                <w:spacing w:val="-2"/>
                <w:sz w:val="24"/>
                <w14:textFill>
                  <w14:solidFill>
                    <w14:schemeClr w14:val="tx1"/>
                  </w14:solidFill>
                </w14:textFill>
              </w:rPr>
              <w:t>，年采伐量为2万m</w:t>
            </w:r>
            <w:r>
              <w:rPr>
                <w:rFonts w:hint="eastAsia"/>
                <w:color w:val="000000" w:themeColor="text1"/>
                <w:spacing w:val="-2"/>
                <w:sz w:val="24"/>
                <w:vertAlign w:val="superscript"/>
                <w14:textFill>
                  <w14:solidFill>
                    <w14:schemeClr w14:val="tx1"/>
                  </w14:solidFill>
                </w14:textFill>
              </w:rPr>
              <w:t>3</w:t>
            </w:r>
            <w:r>
              <w:rPr>
                <w:rFonts w:hint="eastAsia"/>
                <w:color w:val="000000" w:themeColor="text1"/>
                <w:spacing w:val="-2"/>
                <w:sz w:val="24"/>
                <w14:textFill>
                  <w14:solidFill>
                    <w14:schemeClr w14:val="tx1"/>
                  </w14:solidFill>
                </w14:textFill>
              </w:rPr>
              <w:t>。</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本项目评价区内未发现重点保护濒危植物物种。</w:t>
            </w:r>
          </w:p>
          <w:p>
            <w:pPr>
              <w:spacing w:line="480" w:lineRule="exact"/>
              <w:rPr>
                <w:rFonts w:hAnsi="黑体" w:eastAsia="黑体"/>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2.10宁武县两区区划</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（1）宁武县生态功能区划</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根据《宁武县生态功能区划》，宁武县生态功能区划共分为7个生态功能亚区、13 个生态功能小区。本项目位于Ⅱ宁武县恢河流域营养物质与水土保持生态功能小区。</w:t>
            </w:r>
          </w:p>
          <w:p>
            <w:pPr>
              <w:snapToGrid w:val="0"/>
              <w:spacing w:line="480" w:lineRule="exact"/>
              <w:ind w:firstLine="430"/>
              <w:jc w:val="left"/>
              <w:rPr>
                <w:rFonts w:hint="eastAsia"/>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小区主要发展方向：①对于水土流失相对较重的区域，实施小流域治理和植树造林等生态恢复工程，提高制备覆盖率，恢复和营造良好的区域生态系统；②河岸两侧的耕地尽快实施测土配方施肥、施药工程，合理实施话费和农药；③加大对城市环保基础设施建设的投入，集中财力物力，尽快完成集中供气供热工程并发挥效益，改善城区大气环境质量；④加快区内排污管网和垃圾无害化处置场的建设，为污水处理厂正常运行和垃圾有序堆存提供条件；⑤依据水源地环境保护规划和保护区划分等级对水源地进行严格保护；⑥采矿业要实行严格的生态恢复和治理措施。节能和洁净化生产并举，提高煤炭综合利用和附加值，发展循环经济，减轻环境污染；对未开采的矿区，要引进先进的开采技术和管理经验，实施绿色开采和积极开展矿山的生态恢复；⑦发展沼气、太阳能等清洁能源产业。</w:t>
            </w:r>
          </w:p>
          <w:p>
            <w:pPr>
              <w:snapToGrid w:val="0"/>
              <w:spacing w:line="480" w:lineRule="exact"/>
              <w:ind w:firstLine="430"/>
              <w:jc w:val="left"/>
            </w:pPr>
            <w:r>
              <w:rPr>
                <w:rFonts w:hint="eastAsia"/>
                <w:color w:val="000000" w:themeColor="text1"/>
                <w:spacing w:val="-2"/>
                <w:sz w:val="24"/>
                <w14:textFill>
                  <w14:solidFill>
                    <w14:schemeClr w14:val="tx1"/>
                  </w14:solidFill>
                </w14:textFill>
              </w:rPr>
              <w:t>本项目为配煤、煤炭仓储建设项目，</w:t>
            </w:r>
            <w:r>
              <w:rPr>
                <w:rFonts w:hint="eastAsia"/>
                <w:color w:val="000000" w:themeColor="text1"/>
                <w:spacing w:val="-2"/>
                <w:sz w:val="24"/>
                <w:lang w:eastAsia="zh-CN"/>
                <w14:textFill>
                  <w14:solidFill>
                    <w14:schemeClr w14:val="tx1"/>
                  </w14:solidFill>
                </w14:textFill>
              </w:rPr>
              <w:t>要求企业厂区周边进行绿化，保证生态功能不退化，</w:t>
            </w:r>
            <w:r>
              <w:rPr>
                <w:rFonts w:hint="eastAsia"/>
                <w:color w:val="000000" w:themeColor="text1"/>
                <w:spacing w:val="-2"/>
                <w:sz w:val="24"/>
                <w14:textFill>
                  <w14:solidFill>
                    <w14:schemeClr w14:val="tx1"/>
                  </w14:solidFill>
                </w14:textFill>
              </w:rPr>
              <w:t>不</w:t>
            </w:r>
            <w:r>
              <w:rPr>
                <w:rFonts w:hint="eastAsia"/>
                <w:color w:val="000000" w:themeColor="text1"/>
                <w:spacing w:val="-2"/>
                <w:sz w:val="24"/>
                <w:lang w:eastAsia="zh-CN"/>
                <w14:textFill>
                  <w14:solidFill>
                    <w14:schemeClr w14:val="tx1"/>
                  </w14:solidFill>
                </w14:textFill>
              </w:rPr>
              <w:t>违背</w:t>
            </w:r>
            <w:r>
              <w:rPr>
                <w:rFonts w:hint="eastAsia"/>
                <w:color w:val="000000" w:themeColor="text1"/>
                <w:spacing w:val="-2"/>
                <w:sz w:val="24"/>
                <w14:textFill>
                  <w14:solidFill>
                    <w14:schemeClr w14:val="tx1"/>
                  </w14:solidFill>
                </w14:textFill>
              </w:rPr>
              <w:t>区域</w:t>
            </w:r>
            <w:r>
              <w:rPr>
                <w:rFonts w:hint="eastAsia"/>
                <w:color w:val="000000" w:themeColor="text1"/>
                <w:spacing w:val="-2"/>
                <w:sz w:val="24"/>
                <w:lang w:eastAsia="zh-CN"/>
                <w14:textFill>
                  <w14:solidFill>
                    <w14:schemeClr w14:val="tx1"/>
                  </w14:solidFill>
                </w14:textFill>
              </w:rPr>
              <w:t>发展方向及要求，</w:t>
            </w:r>
            <w:r>
              <w:rPr>
                <w:rFonts w:hint="eastAsia"/>
                <w:color w:val="000000" w:themeColor="text1"/>
                <w:spacing w:val="-2"/>
                <w:sz w:val="24"/>
                <w14:textFill>
                  <w14:solidFill>
                    <w14:schemeClr w14:val="tx1"/>
                  </w14:solidFill>
                </w14:textFill>
              </w:rPr>
              <w:t>符合生态</w:t>
            </w:r>
            <w:r>
              <w:rPr>
                <w:rFonts w:hint="eastAsia"/>
                <w:color w:val="000000" w:themeColor="text1"/>
                <w:spacing w:val="-2"/>
                <w:sz w:val="24"/>
                <w:lang w:eastAsia="zh-CN"/>
                <w14:textFill>
                  <w14:solidFill>
                    <w14:schemeClr w14:val="tx1"/>
                  </w14:solidFill>
                </w14:textFill>
              </w:rPr>
              <w:t>功能</w:t>
            </w:r>
            <w:r>
              <w:rPr>
                <w:rFonts w:hint="eastAsia"/>
                <w:color w:val="000000" w:themeColor="text1"/>
                <w:spacing w:val="-2"/>
                <w:sz w:val="24"/>
                <w14:textFill>
                  <w14:solidFill>
                    <w14:schemeClr w14:val="tx1"/>
                  </w14:solidFill>
                </w14:textFill>
              </w:rPr>
              <w:t>区划要求。</w:t>
            </w:r>
          </w:p>
          <w:p>
            <w:pPr>
              <w:numPr>
                <w:ilvl w:val="0"/>
                <w:numId w:val="1"/>
              </w:num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宁武县生态功能经济区划</w:t>
            </w:r>
          </w:p>
          <w:p>
            <w:pPr>
              <w:tabs>
                <w:tab w:val="left" w:pos="6300"/>
              </w:tabs>
              <w:snapToGrid w:val="0"/>
              <w:spacing w:line="480" w:lineRule="exact"/>
              <w:rPr>
                <w:rFonts w:hint="eastAsia"/>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根据《宁武县生态经济区划报告》，本项目所在位置属于Ⅲ3宁武县薛家洼乡生态农牧业经济区，为宁武县重点开发区，该区的生态经济功能为城镇商业经济发展与社会服务功能。主要发展为鼓励发展商业、文化、旅游服务为主导的第三产业，建成黄河沿岸生态环境优美的城镇，鼓励发展高新技术及无污染的各类加工工业，发展以小杂粮和蔬菜种植与加工为主要的生态农业经济。限制任何有污染隐患的工业项目在该区内建设。</w:t>
            </w:r>
          </w:p>
          <w:p>
            <w:pPr>
              <w:snapToGrid w:val="0"/>
              <w:spacing w:line="480" w:lineRule="exact"/>
              <w:ind w:firstLine="430"/>
              <w:jc w:val="left"/>
              <w:rPr>
                <w:rFonts w:hint="eastAsia" w:eastAsia="宋体"/>
                <w:color w:val="000000" w:themeColor="text1"/>
                <w:spacing w:val="4"/>
                <w:sz w:val="24"/>
                <w:lang w:eastAsia="zh-CN"/>
                <w14:textFill>
                  <w14:solidFill>
                    <w14:schemeClr w14:val="tx1"/>
                  </w14:solidFill>
                </w14:textFill>
              </w:rPr>
            </w:pPr>
            <w:r>
              <w:rPr>
                <w:rFonts w:hint="eastAsia"/>
                <w:color w:val="000000" w:themeColor="text1"/>
                <w:spacing w:val="-2"/>
                <w:sz w:val="24"/>
                <w14:textFill>
                  <w14:solidFill>
                    <w14:schemeClr w14:val="tx1"/>
                  </w14:solidFill>
                </w14:textFill>
              </w:rPr>
              <w:t>本项目为配煤、煤炭仓储建设项目，不属于本区域内的限制项目，项目所在地位置不在宁武县禁止开发区和限制开发区，符合生态经济区划要求。</w:t>
            </w:r>
          </w:p>
          <w:p>
            <w:pPr>
              <w:pStyle w:val="13"/>
              <w:rPr>
                <w:color w:val="000000" w:themeColor="text1"/>
                <w:spacing w:val="4"/>
                <w:sz w:val="24"/>
                <w14:textFill>
                  <w14:solidFill>
                    <w14:schemeClr w14:val="tx1"/>
                  </w14:solidFill>
                </w14:textFill>
              </w:rPr>
            </w:pPr>
          </w:p>
          <w:p>
            <w:pPr>
              <w:pStyle w:val="13"/>
              <w:rPr>
                <w:color w:val="000000" w:themeColor="text1"/>
                <w:spacing w:val="4"/>
                <w:sz w:val="24"/>
                <w14:textFill>
                  <w14:solidFill>
                    <w14:schemeClr w14:val="tx1"/>
                  </w14:solidFill>
                </w14:textFill>
              </w:rPr>
            </w:pPr>
          </w:p>
          <w:p>
            <w:pPr>
              <w:pStyle w:val="13"/>
              <w:rPr>
                <w:color w:val="000000" w:themeColor="text1"/>
                <w:spacing w:val="4"/>
                <w:sz w:val="24"/>
                <w14:textFill>
                  <w14:solidFill>
                    <w14:schemeClr w14:val="tx1"/>
                  </w14:solidFill>
                </w14:textFill>
              </w:rPr>
            </w:pPr>
          </w:p>
          <w:p>
            <w:pPr>
              <w:pStyle w:val="13"/>
              <w:rPr>
                <w:color w:val="000000" w:themeColor="text1"/>
                <w:spacing w:val="4"/>
                <w:sz w:val="24"/>
                <w14:textFill>
                  <w14:solidFill>
                    <w14:schemeClr w14:val="tx1"/>
                  </w14:solidFill>
                </w14:textFill>
              </w:rPr>
            </w:pPr>
          </w:p>
          <w:p>
            <w:pPr>
              <w:pStyle w:val="13"/>
              <w:rPr>
                <w:color w:val="000000" w:themeColor="text1"/>
                <w:spacing w:val="4"/>
                <w:sz w:val="24"/>
                <w14:textFill>
                  <w14:solidFill>
                    <w14:schemeClr w14:val="tx1"/>
                  </w14:solidFill>
                </w14:textFill>
              </w:rPr>
            </w:pPr>
          </w:p>
          <w:p>
            <w:pPr>
              <w:pStyle w:val="13"/>
              <w:rPr>
                <w:color w:val="000000" w:themeColor="text1"/>
                <w:spacing w:val="4"/>
                <w:sz w:val="24"/>
                <w14:textFill>
                  <w14:solidFill>
                    <w14:schemeClr w14:val="tx1"/>
                  </w14:solidFill>
                </w14:textFill>
              </w:rPr>
            </w:pPr>
          </w:p>
          <w:p>
            <w:pPr>
              <w:tabs>
                <w:tab w:val="left" w:pos="6300"/>
              </w:tabs>
              <w:snapToGrid w:val="0"/>
              <w:spacing w:line="480" w:lineRule="exact"/>
              <w:rPr>
                <w:color w:val="000000" w:themeColor="text1"/>
                <w:spacing w:val="4"/>
                <w:sz w:val="24"/>
                <w14:textFill>
                  <w14:solidFill>
                    <w14:schemeClr w14:val="tx1"/>
                  </w14:solidFill>
                </w14:textFill>
              </w:rPr>
            </w:pPr>
          </w:p>
        </w:tc>
      </w:tr>
    </w:tbl>
    <w:p>
      <w:pPr>
        <w:spacing w:before="50" w:line="480" w:lineRule="exact"/>
        <w:rPr>
          <w:rFonts w:eastAsia="黑体"/>
          <w:bCs/>
          <w:color w:val="000000" w:themeColor="text1"/>
          <w:sz w:val="32"/>
          <w14:textFill>
            <w14:solidFill>
              <w14:schemeClr w14:val="tx1"/>
            </w14:solidFill>
          </w14:textFill>
        </w:rPr>
        <w:sectPr>
          <w:pgSz w:w="11906" w:h="16838"/>
          <w:pgMar w:top="1418" w:right="1440" w:bottom="1418" w:left="1440" w:header="851" w:footer="992" w:gutter="0"/>
          <w:cols w:space="425" w:num="1"/>
          <w:docGrid w:type="lines" w:linePitch="312" w:charSpace="0"/>
        </w:sectPr>
      </w:pPr>
    </w:p>
    <w:p>
      <w:pPr>
        <w:spacing w:before="50" w:line="480" w:lineRule="exact"/>
        <w:outlineLvl w:val="0"/>
        <w:rPr>
          <w:rFonts w:eastAsia="黑体"/>
          <w:bCs/>
          <w:color w:val="000000" w:themeColor="text1"/>
          <w:sz w:val="32"/>
          <w14:textFill>
            <w14:solidFill>
              <w14:schemeClr w14:val="tx1"/>
            </w14:solidFill>
          </w14:textFill>
        </w:rPr>
      </w:pPr>
      <w:r>
        <w:rPr>
          <w:rFonts w:eastAsia="黑体"/>
          <w:bCs/>
          <w:color w:val="000000" w:themeColor="text1"/>
          <w:sz w:val="32"/>
          <w14:textFill>
            <w14:solidFill>
              <w14:schemeClr w14:val="tx1"/>
            </w14:solidFill>
          </w14:textFill>
        </w:rPr>
        <w:t>环境质量现状</w:t>
      </w:r>
    </w:p>
    <w:tbl>
      <w:tblPr>
        <w:tblStyle w:val="32"/>
        <w:tblW w:w="4975"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24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1" w:hRule="atLeast"/>
        </w:trPr>
        <w:tc>
          <w:tcPr>
            <w:tcW w:w="5000" w:type="pct"/>
          </w:tcPr>
          <w:p>
            <w:pPr>
              <w:spacing w:before="156" w:beforeLines="50" w:after="156" w:afterLines="50" w:line="480" w:lineRule="exact"/>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建设项目所在地区域环境质量现状及主要环境问题（环境空气、地表水、地下水、声环境、生态环境等）</w:t>
            </w:r>
          </w:p>
          <w:p>
            <w:pPr>
              <w:spacing w:line="480" w:lineRule="exact"/>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1、</w:t>
            </w:r>
            <w:r>
              <w:rPr>
                <w:rFonts w:eastAsia="黑体"/>
                <w:bCs/>
                <w:color w:val="000000" w:themeColor="text1"/>
                <w:sz w:val="24"/>
                <w14:textFill>
                  <w14:solidFill>
                    <w14:schemeClr w14:val="tx1"/>
                  </w14:solidFill>
                </w14:textFill>
              </w:rPr>
              <w:t>大气环境质量现状</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本次评价采用宁武县城区例行监测点位</w:t>
            </w:r>
            <w:r>
              <w:rPr>
                <w:color w:val="000000" w:themeColor="text1"/>
                <w:sz w:val="24"/>
                <w14:textFill>
                  <w14:solidFill>
                    <w14:schemeClr w14:val="tx1"/>
                  </w14:solidFill>
                </w14:textFill>
              </w:rPr>
              <w:t>201</w:t>
            </w:r>
            <w:r>
              <w:rPr>
                <w:rFonts w:hint="eastAsia"/>
                <w:color w:val="000000" w:themeColor="text1"/>
                <w:sz w:val="24"/>
                <w14:textFill>
                  <w14:solidFill>
                    <w14:schemeClr w14:val="tx1"/>
                  </w14:solidFill>
                </w14:textFill>
              </w:rPr>
              <w:t>9年例行监测数据，按照</w:t>
            </w:r>
            <w:r>
              <w:rPr>
                <w:color w:val="000000" w:themeColor="text1"/>
                <w:sz w:val="24"/>
                <w14:textFill>
                  <w14:solidFill>
                    <w14:schemeClr w14:val="tx1"/>
                  </w14:solidFill>
                </w14:textFill>
              </w:rPr>
              <w:t>HJ663</w:t>
            </w:r>
            <w:r>
              <w:rPr>
                <w:rFonts w:hint="eastAsia"/>
                <w:color w:val="000000" w:themeColor="text1"/>
                <w:sz w:val="24"/>
                <w14:textFill>
                  <w14:solidFill>
                    <w14:schemeClr w14:val="tx1"/>
                  </w14:solidFill>
                </w14:textFill>
              </w:rPr>
              <w:t>中的统计方法对</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CO</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的年评价指标进行环境质量现状评价，评价结果见表3-1。</w:t>
            </w:r>
          </w:p>
          <w:p>
            <w:pPr>
              <w:spacing w:before="156" w:beforeLines="50" w:line="500" w:lineRule="exact"/>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表3-1 区域空气质量现状评价表</w:t>
            </w:r>
          </w:p>
          <w:tbl>
            <w:tblPr>
              <w:tblStyle w:val="32"/>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60"/>
              <w:gridCol w:w="828"/>
              <w:gridCol w:w="2071"/>
              <w:gridCol w:w="1244"/>
              <w:gridCol w:w="1383"/>
              <w:gridCol w:w="1142"/>
              <w:gridCol w:w="911"/>
              <w:gridCol w:w="772"/>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PrEx>
              <w:trPr>
                <w:trHeight w:val="320" w:hRule="atLeast"/>
                <w:jc w:val="center"/>
              </w:trPr>
              <w:tc>
                <w:tcPr>
                  <w:tcW w:w="366" w:type="pct"/>
                  <w:tcBorders>
                    <w:tl2br w:val="nil"/>
                    <w:tr2bl w:val="nil"/>
                  </w:tcBorders>
                  <w:vAlign w:val="center"/>
                </w:tcPr>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点位名称</w:t>
                  </w:r>
                </w:p>
              </w:tc>
              <w:tc>
                <w:tcPr>
                  <w:tcW w:w="459" w:type="pct"/>
                  <w:tcBorders>
                    <w:tl2br w:val="nil"/>
                    <w:tr2bl w:val="nil"/>
                  </w:tcBorders>
                  <w:vAlign w:val="center"/>
                </w:tcPr>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污染物</w:t>
                  </w:r>
                </w:p>
              </w:tc>
              <w:tc>
                <w:tcPr>
                  <w:tcW w:w="1148" w:type="pct"/>
                  <w:tcBorders>
                    <w:tl2br w:val="nil"/>
                    <w:tr2bl w:val="nil"/>
                  </w:tcBorders>
                  <w:vAlign w:val="center"/>
                </w:tcPr>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年评价指标</w:t>
                  </w:r>
                </w:p>
              </w:tc>
              <w:tc>
                <w:tcPr>
                  <w:tcW w:w="690" w:type="pct"/>
                  <w:tcBorders>
                    <w:tl2br w:val="nil"/>
                    <w:tr2bl w:val="nil"/>
                  </w:tcBorders>
                  <w:vAlign w:val="center"/>
                </w:tcPr>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现状浓度</w:t>
                  </w:r>
                  <w:r>
                    <w:rPr>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µg/m</w:t>
                  </w:r>
                  <w:r>
                    <w:rPr>
                      <w:b/>
                      <w:color w:val="000000" w:themeColor="text1"/>
                      <w:szCs w:val="21"/>
                      <w:vertAlign w:val="superscript"/>
                      <w14:textFill>
                        <w14:solidFill>
                          <w14:schemeClr w14:val="tx1"/>
                        </w14:solidFill>
                      </w14:textFill>
                    </w:rPr>
                    <w:t>3</w:t>
                  </w:r>
                  <w:r>
                    <w:rPr>
                      <w:rFonts w:hint="eastAsia"/>
                      <w:b/>
                      <w:color w:val="000000" w:themeColor="text1"/>
                      <w:szCs w:val="21"/>
                      <w14:textFill>
                        <w14:solidFill>
                          <w14:schemeClr w14:val="tx1"/>
                        </w14:solidFill>
                      </w14:textFill>
                    </w:rPr>
                    <w:t>）</w:t>
                  </w:r>
                </w:p>
              </w:tc>
              <w:tc>
                <w:tcPr>
                  <w:tcW w:w="767" w:type="pct"/>
                  <w:tcBorders>
                    <w:tl2br w:val="nil"/>
                    <w:tr2bl w:val="nil"/>
                  </w:tcBorders>
                  <w:vAlign w:val="center"/>
                </w:tcPr>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评价标准</w:t>
                  </w:r>
                  <w:r>
                    <w:rPr>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µg/m</w:t>
                  </w:r>
                  <w:r>
                    <w:rPr>
                      <w:b/>
                      <w:color w:val="000000" w:themeColor="text1"/>
                      <w:szCs w:val="21"/>
                      <w:vertAlign w:val="superscript"/>
                      <w14:textFill>
                        <w14:solidFill>
                          <w14:schemeClr w14:val="tx1"/>
                        </w14:solidFill>
                      </w14:textFill>
                    </w:rPr>
                    <w:t>3</w:t>
                  </w:r>
                  <w:r>
                    <w:rPr>
                      <w:rFonts w:hint="eastAsia"/>
                      <w:b/>
                      <w:color w:val="000000" w:themeColor="text1"/>
                      <w:szCs w:val="21"/>
                      <w14:textFill>
                        <w14:solidFill>
                          <w14:schemeClr w14:val="tx1"/>
                        </w14:solidFill>
                      </w14:textFill>
                    </w:rPr>
                    <w:t>）</w:t>
                  </w:r>
                </w:p>
              </w:tc>
              <w:tc>
                <w:tcPr>
                  <w:tcW w:w="633" w:type="pct"/>
                  <w:tcBorders>
                    <w:tl2br w:val="nil"/>
                    <w:tr2bl w:val="nil"/>
                  </w:tcBorders>
                  <w:vAlign w:val="center"/>
                </w:tcPr>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最大浓度占标率</w:t>
                  </w:r>
                  <w:r>
                    <w:rPr>
                      <w:b/>
                      <w:color w:val="000000" w:themeColor="text1"/>
                      <w:szCs w:val="21"/>
                      <w14:textFill>
                        <w14:solidFill>
                          <w14:schemeClr w14:val="tx1"/>
                        </w14:solidFill>
                      </w14:textFill>
                    </w:rPr>
                    <w:t>/%</w:t>
                  </w:r>
                </w:p>
              </w:tc>
              <w:tc>
                <w:tcPr>
                  <w:tcW w:w="505" w:type="pct"/>
                  <w:tcBorders>
                    <w:tl2br w:val="nil"/>
                    <w:tr2bl w:val="nil"/>
                  </w:tcBorders>
                  <w:vAlign w:val="center"/>
                </w:tcPr>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超标率</w:t>
                  </w:r>
                  <w:r>
                    <w:rPr>
                      <w:b/>
                      <w:color w:val="000000" w:themeColor="text1"/>
                      <w:szCs w:val="21"/>
                      <w14:textFill>
                        <w14:solidFill>
                          <w14:schemeClr w14:val="tx1"/>
                        </w14:solidFill>
                      </w14:textFill>
                    </w:rPr>
                    <w:t>/%</w:t>
                  </w:r>
                </w:p>
              </w:tc>
              <w:tc>
                <w:tcPr>
                  <w:tcW w:w="428" w:type="pct"/>
                  <w:tcBorders>
                    <w:tl2br w:val="nil"/>
                    <w:tr2bl w:val="nil"/>
                  </w:tcBorders>
                  <w:vAlign w:val="center"/>
                </w:tcPr>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达标</w:t>
                  </w:r>
                </w:p>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情况</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restar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宁武县例行监测点</w:t>
                  </w:r>
                </w:p>
              </w:tc>
              <w:tc>
                <w:tcPr>
                  <w:tcW w:w="459"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SO</w:t>
                  </w:r>
                  <w:r>
                    <w:rPr>
                      <w:color w:val="000000" w:themeColor="text1"/>
                      <w:szCs w:val="21"/>
                      <w:vertAlign w:val="subscript"/>
                      <w14:textFill>
                        <w14:solidFill>
                          <w14:schemeClr w14:val="tx1"/>
                        </w14:solidFill>
                      </w14:textFill>
                    </w:rPr>
                    <w:t>2</w:t>
                  </w:r>
                </w:p>
              </w:tc>
              <w:tc>
                <w:tcPr>
                  <w:tcW w:w="114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年平均质量浓度</w:t>
                  </w:r>
                </w:p>
              </w:tc>
              <w:tc>
                <w:tcPr>
                  <w:tcW w:w="690"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767"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633"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w:t>
                  </w:r>
                </w:p>
              </w:tc>
              <w:tc>
                <w:tcPr>
                  <w:tcW w:w="505"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2</w:t>
                  </w:r>
                </w:p>
              </w:tc>
              <w:tc>
                <w:tcPr>
                  <w:tcW w:w="114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年平均质量浓度</w:t>
                  </w:r>
                </w:p>
              </w:tc>
              <w:tc>
                <w:tcPr>
                  <w:tcW w:w="690"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767"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633"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05"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w:t>
                  </w:r>
                  <w:r>
                    <w:rPr>
                      <w:color w:val="000000" w:themeColor="text1"/>
                      <w:szCs w:val="21"/>
                      <w:vertAlign w:val="subscript"/>
                      <w14:textFill>
                        <w14:solidFill>
                          <w14:schemeClr w14:val="tx1"/>
                        </w14:solidFill>
                      </w14:textFill>
                    </w:rPr>
                    <w:t>10</w:t>
                  </w:r>
                </w:p>
              </w:tc>
              <w:tc>
                <w:tcPr>
                  <w:tcW w:w="114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年平均质量浓度</w:t>
                  </w:r>
                </w:p>
              </w:tc>
              <w:tc>
                <w:tcPr>
                  <w:tcW w:w="690"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65</w:t>
                  </w:r>
                </w:p>
              </w:tc>
              <w:tc>
                <w:tcPr>
                  <w:tcW w:w="767"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633"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92.85</w:t>
                  </w:r>
                </w:p>
              </w:tc>
              <w:tc>
                <w:tcPr>
                  <w:tcW w:w="505"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w:t>
                  </w:r>
                  <w:r>
                    <w:rPr>
                      <w:color w:val="000000" w:themeColor="text1"/>
                      <w:szCs w:val="21"/>
                      <w:vertAlign w:val="subscript"/>
                      <w14:textFill>
                        <w14:solidFill>
                          <w14:schemeClr w14:val="tx1"/>
                        </w14:solidFill>
                      </w14:textFill>
                    </w:rPr>
                    <w:t>2.5</w:t>
                  </w:r>
                </w:p>
              </w:tc>
              <w:tc>
                <w:tcPr>
                  <w:tcW w:w="114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年平均质量浓度</w:t>
                  </w:r>
                </w:p>
              </w:tc>
              <w:tc>
                <w:tcPr>
                  <w:tcW w:w="690"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p>
              </w:tc>
              <w:tc>
                <w:tcPr>
                  <w:tcW w:w="767"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w:t>
                  </w:r>
                </w:p>
              </w:tc>
              <w:tc>
                <w:tcPr>
                  <w:tcW w:w="633"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82.85</w:t>
                  </w:r>
                </w:p>
              </w:tc>
              <w:tc>
                <w:tcPr>
                  <w:tcW w:w="505"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w:t>
                  </w:r>
                </w:p>
              </w:tc>
              <w:tc>
                <w:tcPr>
                  <w:tcW w:w="1148"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r>
                    <w:rPr>
                      <w:rFonts w:hint="eastAsia"/>
                      <w:color w:val="000000" w:themeColor="text1"/>
                      <w:szCs w:val="21"/>
                      <w14:textFill>
                        <w14:solidFill>
                          <w14:schemeClr w14:val="tx1"/>
                        </w14:solidFill>
                      </w14:textFill>
                    </w:rPr>
                    <w:t>百分位日平均质量浓度</w:t>
                  </w:r>
                </w:p>
              </w:tc>
              <w:tc>
                <w:tcPr>
                  <w:tcW w:w="690"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mg/m</w:t>
                  </w:r>
                  <w:r>
                    <w:rPr>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w:t>
                  </w:r>
                </w:p>
              </w:tc>
              <w:tc>
                <w:tcPr>
                  <w:tcW w:w="767"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mg/m</w:t>
                  </w:r>
                  <w:r>
                    <w:rPr>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w:t>
                  </w:r>
                </w:p>
              </w:tc>
              <w:tc>
                <w:tcPr>
                  <w:tcW w:w="633"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w:t>
                  </w:r>
                </w:p>
              </w:tc>
              <w:tc>
                <w:tcPr>
                  <w:tcW w:w="505"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3</w:t>
                  </w:r>
                </w:p>
              </w:tc>
              <w:tc>
                <w:tcPr>
                  <w:tcW w:w="1148"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r>
                    <w:rPr>
                      <w:rFonts w:hint="eastAsia"/>
                      <w:color w:val="000000" w:themeColor="text1"/>
                      <w:szCs w:val="21"/>
                      <w14:textFill>
                        <w14:solidFill>
                          <w14:schemeClr w14:val="tx1"/>
                        </w14:solidFill>
                      </w14:textFill>
                    </w:rPr>
                    <w:t>百分位日最大</w:t>
                  </w: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小时平均质量浓度</w:t>
                  </w:r>
                </w:p>
              </w:tc>
              <w:tc>
                <w:tcPr>
                  <w:tcW w:w="690"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152</w:t>
                  </w:r>
                </w:p>
              </w:tc>
              <w:tc>
                <w:tcPr>
                  <w:tcW w:w="767" w:type="pct"/>
                  <w:tcBorders>
                    <w:tl2br w:val="nil"/>
                    <w:tr2bl w:val="nil"/>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160</w:t>
                  </w:r>
                </w:p>
              </w:tc>
              <w:tc>
                <w:tcPr>
                  <w:tcW w:w="633"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5"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bl>
          <w:p>
            <w:pPr>
              <w:spacing w:before="78" w:beforeLines="25" w:line="480" w:lineRule="exact"/>
              <w:ind w:firstLine="480" w:firstLineChars="200"/>
              <w:rPr>
                <w:color w:val="000000" w:themeColor="text1"/>
                <w:sz w:val="24"/>
                <w:szCs w:val="22"/>
                <w14:textFill>
                  <w14:solidFill>
                    <w14:schemeClr w14:val="tx1"/>
                  </w14:solidFill>
                </w14:textFill>
              </w:rPr>
            </w:pPr>
            <w:r>
              <w:rPr>
                <w:rFonts w:hint="eastAsia"/>
                <w:color w:val="000000" w:themeColor="text1"/>
                <w:sz w:val="24"/>
                <w14:textFill>
                  <w14:solidFill>
                    <w14:schemeClr w14:val="tx1"/>
                  </w14:solidFill>
                </w14:textFill>
              </w:rPr>
              <w:t>由表3-1可知，</w:t>
            </w:r>
            <w:r>
              <w:rPr>
                <w:color w:val="000000" w:themeColor="text1"/>
                <w:sz w:val="24"/>
                <w14:textFill>
                  <w14:solidFill>
                    <w14:schemeClr w14:val="tx1"/>
                  </w14:solidFill>
                </w14:textFill>
              </w:rPr>
              <w:t>201</w:t>
            </w:r>
            <w:r>
              <w:rPr>
                <w:rFonts w:hint="eastAsia"/>
                <w:color w:val="000000" w:themeColor="text1"/>
                <w:sz w:val="24"/>
                <w14:textFill>
                  <w14:solidFill>
                    <w14:schemeClr w14:val="tx1"/>
                  </w14:solidFill>
                </w14:textFill>
              </w:rPr>
              <w:t>9年宁武县城区</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CO</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均达标，</w:t>
            </w:r>
            <w:r>
              <w:rPr>
                <w:rFonts w:hint="eastAsia"/>
                <w:color w:val="000000" w:themeColor="text1"/>
                <w:sz w:val="24"/>
                <w:szCs w:val="22"/>
                <w14:textFill>
                  <w14:solidFill>
                    <w14:schemeClr w14:val="tx1"/>
                  </w14:solidFill>
                </w14:textFill>
              </w:rPr>
              <w:t>说明本项目所在区域为达标区。</w:t>
            </w:r>
          </w:p>
          <w:p>
            <w:pPr>
              <w:pStyle w:val="31"/>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为了解本项目厂址处环境空气质量现状，委托</w:t>
            </w:r>
            <w:r>
              <w:rPr>
                <w:rFonts w:ascii="Times New Roman" w:hAnsi="Times New Roman"/>
                <w:color w:val="000000" w:themeColor="text1"/>
                <w:sz w:val="24"/>
                <w14:textFill>
                  <w14:solidFill>
                    <w14:schemeClr w14:val="tx1"/>
                  </w14:solidFill>
                </w14:textFill>
              </w:rPr>
              <w:t>山西昌兴同创安全技术服务有限公司于2020年1月3日-10日对厂址处进行现状监测，监测因子为TSP、PM</w:t>
            </w:r>
            <w:r>
              <w:rPr>
                <w:rFonts w:ascii="Times New Roman" w:hAnsi="Times New Roman"/>
                <w:color w:val="000000" w:themeColor="text1"/>
                <w:sz w:val="24"/>
                <w:vertAlign w:val="subscript"/>
                <w14:textFill>
                  <w14:solidFill>
                    <w14:schemeClr w14:val="tx1"/>
                  </w14:solidFill>
                </w14:textFill>
              </w:rPr>
              <w:t>10</w:t>
            </w:r>
            <w:r>
              <w:rPr>
                <w:rFonts w:ascii="Times New Roman" w:hAnsi="Times New Roman"/>
                <w:color w:val="000000" w:themeColor="text1"/>
                <w:sz w:val="24"/>
                <w14:textFill>
                  <w14:solidFill>
                    <w14:schemeClr w14:val="tx1"/>
                  </w14:solidFill>
                </w14:textFill>
              </w:rPr>
              <w:t>。</w:t>
            </w:r>
          </w:p>
          <w:p>
            <w:pPr>
              <w:spacing w:before="156" w:beforeLines="50" w:line="500" w:lineRule="exact"/>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表3-2 监测结果一览表</w:t>
            </w:r>
          </w:p>
          <w:tbl>
            <w:tblPr>
              <w:tblStyle w:val="3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2901"/>
              <w:gridCol w:w="2164"/>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pct"/>
                  <w:vAlign w:val="center"/>
                </w:tcPr>
                <w:p>
                  <w:pPr>
                    <w:pStyle w:val="31"/>
                    <w:ind w:firstLine="0" w:firstLineChars="0"/>
                    <w:jc w:val="center"/>
                    <w:rPr>
                      <w:rFonts w:ascii="Times New Roman" w:hAnsi="Times New Roman"/>
                    </w:rPr>
                  </w:pPr>
                  <w:r>
                    <w:rPr>
                      <w:rFonts w:ascii="Times New Roman" w:hAnsi="Times New Roman"/>
                    </w:rPr>
                    <w:t>监测点位</w:t>
                  </w:r>
                </w:p>
              </w:tc>
              <w:tc>
                <w:tcPr>
                  <w:tcW w:w="1609" w:type="pct"/>
                  <w:vAlign w:val="center"/>
                </w:tcPr>
                <w:p>
                  <w:pPr>
                    <w:pStyle w:val="31"/>
                    <w:ind w:firstLine="0" w:firstLineChars="0"/>
                    <w:jc w:val="center"/>
                    <w:rPr>
                      <w:rFonts w:ascii="Times New Roman" w:hAnsi="Times New Roman"/>
                    </w:rPr>
                  </w:pPr>
                  <w:r>
                    <w:rPr>
                      <w:rFonts w:ascii="Times New Roman" w:hAnsi="Times New Roman"/>
                    </w:rPr>
                    <w:t>监测时间</w:t>
                  </w:r>
                </w:p>
              </w:tc>
              <w:tc>
                <w:tcPr>
                  <w:tcW w:w="1200" w:type="pct"/>
                  <w:vAlign w:val="center"/>
                </w:tcPr>
                <w:p>
                  <w:pPr>
                    <w:pStyle w:val="31"/>
                    <w:ind w:firstLine="0" w:firstLineChars="0"/>
                    <w:jc w:val="center"/>
                    <w:rPr>
                      <w:rFonts w:ascii="Times New Roman" w:hAnsi="Times New Roman"/>
                    </w:rPr>
                  </w:pPr>
                  <w:r>
                    <w:rPr>
                      <w:rFonts w:ascii="Times New Roman" w:hAnsi="Times New Roman"/>
                    </w:rPr>
                    <w:t>TSP</w:t>
                  </w:r>
                  <w:r>
                    <w:rPr>
                      <w:rFonts w:hint="eastAsia" w:ascii="Times New Roman" w:hAnsi="Times New Roman"/>
                    </w:rPr>
                    <w:t>（</w:t>
                  </w:r>
                  <w:r>
                    <w:rPr>
                      <w:rFonts w:ascii="Times New Roman" w:hAnsi="Times New Roman"/>
                    </w:rPr>
                    <w:t>mg/m</w:t>
                  </w:r>
                  <w:r>
                    <w:rPr>
                      <w:rFonts w:ascii="Times New Roman" w:hAnsi="Times New Roman"/>
                      <w:vertAlign w:val="superscript"/>
                    </w:rPr>
                    <w:t>3</w:t>
                  </w:r>
                  <w:r>
                    <w:rPr>
                      <w:rFonts w:hint="eastAsia" w:ascii="Times New Roman" w:hAnsi="Times New Roman"/>
                    </w:rPr>
                    <w:t>）</w:t>
                  </w:r>
                </w:p>
              </w:tc>
              <w:tc>
                <w:tcPr>
                  <w:tcW w:w="1443" w:type="pct"/>
                  <w:vAlign w:val="center"/>
                </w:tcPr>
                <w:p>
                  <w:pPr>
                    <w:pStyle w:val="31"/>
                    <w:ind w:firstLine="0" w:firstLineChars="0"/>
                    <w:jc w:val="center"/>
                    <w:rPr>
                      <w:rFonts w:ascii="Times New Roman" w:hAnsi="Times New Roman"/>
                    </w:rPr>
                  </w:pPr>
                  <w:r>
                    <w:rPr>
                      <w:rFonts w:ascii="Times New Roman" w:hAnsi="Times New Roman"/>
                    </w:rPr>
                    <w:t>PM</w:t>
                  </w:r>
                  <w:r>
                    <w:rPr>
                      <w:rFonts w:ascii="Times New Roman" w:hAnsi="Times New Roman"/>
                      <w:vertAlign w:val="subscript"/>
                    </w:rPr>
                    <w:t>10</w:t>
                  </w:r>
                  <w:r>
                    <w:rPr>
                      <w:rFonts w:hint="eastAsia" w:ascii="Times New Roman" w:hAnsi="Times New Roman"/>
                    </w:rPr>
                    <w:t>（</w:t>
                  </w:r>
                  <w:r>
                    <w:rPr>
                      <w:rFonts w:ascii="Times New Roman" w:hAnsi="Times New Roman"/>
                    </w:rPr>
                    <w:t>mg/m</w:t>
                  </w:r>
                  <w:r>
                    <w:rPr>
                      <w:rFonts w:ascii="Times New Roman" w:hAnsi="Times New Roman"/>
                      <w:vertAlign w:val="superscript"/>
                    </w:rPr>
                    <w:t>3</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pct"/>
                  <w:vMerge w:val="restart"/>
                  <w:vAlign w:val="center"/>
                </w:tcPr>
                <w:p>
                  <w:pPr>
                    <w:pStyle w:val="31"/>
                    <w:spacing w:line="240" w:lineRule="auto"/>
                    <w:ind w:firstLine="0" w:firstLineChars="0"/>
                    <w:jc w:val="center"/>
                    <w:rPr>
                      <w:rFonts w:ascii="Times New Roman" w:hAnsi="Times New Roman"/>
                    </w:rPr>
                  </w:pPr>
                  <w:r>
                    <w:rPr>
                      <w:rFonts w:hint="eastAsia" w:ascii="Times New Roman" w:hAnsi="Times New Roman"/>
                    </w:rPr>
                    <w:t>厂址</w:t>
                  </w:r>
                </w:p>
              </w:tc>
              <w:tc>
                <w:tcPr>
                  <w:tcW w:w="1609" w:type="pct"/>
                  <w:vAlign w:val="center"/>
                </w:tcPr>
                <w:p>
                  <w:pPr>
                    <w:jc w:val="center"/>
                  </w:pPr>
                  <w:r>
                    <w:rPr>
                      <w:rFonts w:hint="eastAsia"/>
                    </w:rPr>
                    <w:t>1月3日</w:t>
                  </w:r>
                </w:p>
              </w:tc>
              <w:tc>
                <w:tcPr>
                  <w:tcW w:w="1200"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0.167</w:t>
                  </w:r>
                </w:p>
              </w:tc>
              <w:tc>
                <w:tcPr>
                  <w:tcW w:w="1443"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pct"/>
                  <w:vMerge w:val="continue"/>
                  <w:vAlign w:val="center"/>
                </w:tcPr>
                <w:p>
                  <w:pPr>
                    <w:pStyle w:val="31"/>
                    <w:spacing w:line="240" w:lineRule="auto"/>
                    <w:ind w:firstLine="0" w:firstLineChars="0"/>
                    <w:jc w:val="center"/>
                    <w:rPr>
                      <w:rFonts w:ascii="Times New Roman" w:hAnsi="Times New Roman"/>
                    </w:rPr>
                  </w:pPr>
                </w:p>
              </w:tc>
              <w:tc>
                <w:tcPr>
                  <w:tcW w:w="1609" w:type="pct"/>
                  <w:vAlign w:val="center"/>
                </w:tcPr>
                <w:p>
                  <w:pPr>
                    <w:jc w:val="center"/>
                  </w:pPr>
                  <w:r>
                    <w:rPr>
                      <w:rFonts w:hint="eastAsia"/>
                    </w:rPr>
                    <w:t>1月4日</w:t>
                  </w:r>
                </w:p>
              </w:tc>
              <w:tc>
                <w:tcPr>
                  <w:tcW w:w="2164" w:type="dxa"/>
                  <w:vAlign w:val="center"/>
                </w:tcPr>
                <w:p>
                  <w:pPr>
                    <w:pStyle w:val="31"/>
                    <w:spacing w:line="240" w:lineRule="auto"/>
                    <w:ind w:firstLine="0" w:firstLineChars="0"/>
                    <w:jc w:val="center"/>
                    <w:rPr>
                      <w:rFonts w:ascii="Times New Roman" w:hAnsi="Times New Roman"/>
                    </w:rPr>
                  </w:pPr>
                  <w:r>
                    <w:rPr>
                      <w:rFonts w:hint="eastAsia" w:ascii="Times New Roman" w:hAnsi="Times New Roman"/>
                    </w:rPr>
                    <w:t>0.180</w:t>
                  </w:r>
                </w:p>
              </w:tc>
              <w:tc>
                <w:tcPr>
                  <w:tcW w:w="1443"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pct"/>
                  <w:vMerge w:val="continue"/>
                  <w:vAlign w:val="center"/>
                </w:tcPr>
                <w:p>
                  <w:pPr>
                    <w:pStyle w:val="31"/>
                    <w:spacing w:line="240" w:lineRule="auto"/>
                    <w:ind w:firstLine="0" w:firstLineChars="0"/>
                    <w:jc w:val="center"/>
                    <w:rPr>
                      <w:rFonts w:ascii="Times New Roman" w:hAnsi="Times New Roman"/>
                    </w:rPr>
                  </w:pPr>
                </w:p>
              </w:tc>
              <w:tc>
                <w:tcPr>
                  <w:tcW w:w="1609" w:type="pct"/>
                  <w:vAlign w:val="center"/>
                </w:tcPr>
                <w:p>
                  <w:pPr>
                    <w:jc w:val="center"/>
                  </w:pPr>
                  <w:r>
                    <w:rPr>
                      <w:rFonts w:hint="eastAsia"/>
                    </w:rPr>
                    <w:t>1月5日</w:t>
                  </w:r>
                </w:p>
              </w:tc>
              <w:tc>
                <w:tcPr>
                  <w:tcW w:w="2164" w:type="dxa"/>
                  <w:vAlign w:val="center"/>
                </w:tcPr>
                <w:p>
                  <w:pPr>
                    <w:pStyle w:val="31"/>
                    <w:spacing w:line="240" w:lineRule="auto"/>
                    <w:ind w:firstLine="0" w:firstLineChars="0"/>
                    <w:jc w:val="center"/>
                    <w:rPr>
                      <w:rFonts w:ascii="Times New Roman" w:hAnsi="Times New Roman"/>
                    </w:rPr>
                  </w:pPr>
                  <w:r>
                    <w:rPr>
                      <w:rFonts w:hint="eastAsia" w:ascii="Times New Roman" w:hAnsi="Times New Roman"/>
                    </w:rPr>
                    <w:t>0.157</w:t>
                  </w:r>
                </w:p>
              </w:tc>
              <w:tc>
                <w:tcPr>
                  <w:tcW w:w="1443"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pct"/>
                  <w:vMerge w:val="continue"/>
                  <w:vAlign w:val="center"/>
                </w:tcPr>
                <w:p>
                  <w:pPr>
                    <w:pStyle w:val="31"/>
                    <w:spacing w:line="240" w:lineRule="auto"/>
                    <w:ind w:firstLine="0" w:firstLineChars="0"/>
                    <w:jc w:val="center"/>
                    <w:rPr>
                      <w:rFonts w:ascii="Times New Roman" w:hAnsi="Times New Roman"/>
                    </w:rPr>
                  </w:pPr>
                </w:p>
              </w:tc>
              <w:tc>
                <w:tcPr>
                  <w:tcW w:w="1609" w:type="pct"/>
                  <w:vAlign w:val="center"/>
                </w:tcPr>
                <w:p>
                  <w:pPr>
                    <w:jc w:val="center"/>
                  </w:pPr>
                  <w:r>
                    <w:rPr>
                      <w:rFonts w:hint="eastAsia"/>
                    </w:rPr>
                    <w:t>1月6日</w:t>
                  </w:r>
                </w:p>
              </w:tc>
              <w:tc>
                <w:tcPr>
                  <w:tcW w:w="2164" w:type="dxa"/>
                  <w:vAlign w:val="center"/>
                </w:tcPr>
                <w:p>
                  <w:pPr>
                    <w:pStyle w:val="31"/>
                    <w:spacing w:line="240" w:lineRule="auto"/>
                    <w:ind w:firstLine="0" w:firstLineChars="0"/>
                    <w:jc w:val="center"/>
                    <w:rPr>
                      <w:rFonts w:ascii="Times New Roman" w:hAnsi="Times New Roman"/>
                    </w:rPr>
                  </w:pPr>
                  <w:r>
                    <w:rPr>
                      <w:rFonts w:hint="eastAsia" w:ascii="Times New Roman" w:hAnsi="Times New Roman"/>
                    </w:rPr>
                    <w:t>0.188</w:t>
                  </w:r>
                </w:p>
              </w:tc>
              <w:tc>
                <w:tcPr>
                  <w:tcW w:w="1443"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pct"/>
                  <w:vMerge w:val="continue"/>
                  <w:vAlign w:val="center"/>
                </w:tcPr>
                <w:p>
                  <w:pPr>
                    <w:pStyle w:val="31"/>
                    <w:spacing w:line="240" w:lineRule="auto"/>
                    <w:ind w:firstLine="0" w:firstLineChars="0"/>
                    <w:jc w:val="center"/>
                    <w:rPr>
                      <w:rFonts w:ascii="Times New Roman" w:hAnsi="Times New Roman"/>
                    </w:rPr>
                  </w:pPr>
                </w:p>
              </w:tc>
              <w:tc>
                <w:tcPr>
                  <w:tcW w:w="1609" w:type="pct"/>
                  <w:vAlign w:val="center"/>
                </w:tcPr>
                <w:p>
                  <w:pPr>
                    <w:jc w:val="center"/>
                  </w:pPr>
                  <w:r>
                    <w:rPr>
                      <w:rFonts w:hint="eastAsia"/>
                    </w:rPr>
                    <w:t>1月7日</w:t>
                  </w:r>
                </w:p>
              </w:tc>
              <w:tc>
                <w:tcPr>
                  <w:tcW w:w="2164" w:type="dxa"/>
                  <w:vAlign w:val="center"/>
                </w:tcPr>
                <w:p>
                  <w:pPr>
                    <w:pStyle w:val="31"/>
                    <w:spacing w:line="240" w:lineRule="auto"/>
                    <w:ind w:firstLine="0" w:firstLineChars="0"/>
                    <w:jc w:val="center"/>
                    <w:rPr>
                      <w:rFonts w:ascii="Times New Roman" w:hAnsi="Times New Roman"/>
                    </w:rPr>
                  </w:pPr>
                  <w:r>
                    <w:rPr>
                      <w:rFonts w:hint="eastAsia" w:ascii="Times New Roman" w:hAnsi="Times New Roman"/>
                    </w:rPr>
                    <w:t>0.144</w:t>
                  </w:r>
                </w:p>
              </w:tc>
              <w:tc>
                <w:tcPr>
                  <w:tcW w:w="1443"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pct"/>
                  <w:vMerge w:val="continue"/>
                  <w:vAlign w:val="center"/>
                </w:tcPr>
                <w:p>
                  <w:pPr>
                    <w:pStyle w:val="31"/>
                    <w:spacing w:line="240" w:lineRule="auto"/>
                    <w:ind w:firstLine="0" w:firstLineChars="0"/>
                    <w:jc w:val="center"/>
                    <w:rPr>
                      <w:rFonts w:ascii="Times New Roman" w:hAnsi="Times New Roman"/>
                    </w:rPr>
                  </w:pPr>
                </w:p>
              </w:tc>
              <w:tc>
                <w:tcPr>
                  <w:tcW w:w="1609" w:type="pct"/>
                  <w:vAlign w:val="center"/>
                </w:tcPr>
                <w:p>
                  <w:pPr>
                    <w:jc w:val="center"/>
                  </w:pPr>
                  <w:r>
                    <w:rPr>
                      <w:rFonts w:hint="eastAsia"/>
                    </w:rPr>
                    <w:t>1月8日</w:t>
                  </w:r>
                </w:p>
              </w:tc>
              <w:tc>
                <w:tcPr>
                  <w:tcW w:w="1200"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0.184</w:t>
                  </w:r>
                </w:p>
              </w:tc>
              <w:tc>
                <w:tcPr>
                  <w:tcW w:w="1443"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pct"/>
                  <w:vMerge w:val="continue"/>
                  <w:vAlign w:val="center"/>
                </w:tcPr>
                <w:p>
                  <w:pPr>
                    <w:pStyle w:val="31"/>
                    <w:spacing w:line="240" w:lineRule="auto"/>
                    <w:ind w:firstLine="0" w:firstLineChars="0"/>
                    <w:jc w:val="center"/>
                    <w:rPr>
                      <w:rFonts w:ascii="Times New Roman" w:hAnsi="Times New Roman"/>
                    </w:rPr>
                  </w:pPr>
                </w:p>
              </w:tc>
              <w:tc>
                <w:tcPr>
                  <w:tcW w:w="1609" w:type="pct"/>
                  <w:vAlign w:val="center"/>
                </w:tcPr>
                <w:p>
                  <w:pPr>
                    <w:jc w:val="center"/>
                  </w:pPr>
                  <w:r>
                    <w:rPr>
                      <w:rFonts w:hint="eastAsia"/>
                    </w:rPr>
                    <w:t>1月9日</w:t>
                  </w:r>
                </w:p>
              </w:tc>
              <w:tc>
                <w:tcPr>
                  <w:tcW w:w="1200"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0.154</w:t>
                  </w:r>
                </w:p>
              </w:tc>
              <w:tc>
                <w:tcPr>
                  <w:tcW w:w="1443" w:type="pct"/>
                  <w:vAlign w:val="center"/>
                </w:tcPr>
                <w:p>
                  <w:pPr>
                    <w:pStyle w:val="31"/>
                    <w:spacing w:line="240" w:lineRule="auto"/>
                    <w:ind w:firstLine="0" w:firstLineChars="0"/>
                    <w:jc w:val="center"/>
                    <w:rPr>
                      <w:rFonts w:ascii="Times New Roman" w:hAnsi="Times New Roman"/>
                    </w:rPr>
                  </w:pPr>
                  <w:r>
                    <w:rPr>
                      <w:rFonts w:hint="eastAsia" w:ascii="Times New Roman" w:hAnsi="Times New Roman"/>
                    </w:rPr>
                    <w:t>0.078</w:t>
                  </w:r>
                </w:p>
              </w:tc>
            </w:tr>
          </w:tbl>
          <w:p>
            <w:pPr>
              <w:pStyle w:val="31"/>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根据监测结果可知，项目厂址TSP、PM</w:t>
            </w:r>
            <w:r>
              <w:rPr>
                <w:rFonts w:hint="eastAsia" w:ascii="Times New Roman" w:hAnsi="Times New Roman"/>
                <w:color w:val="000000" w:themeColor="text1"/>
                <w:sz w:val="24"/>
                <w:vertAlign w:val="subscript"/>
                <w14:textFill>
                  <w14:solidFill>
                    <w14:schemeClr w14:val="tx1"/>
                  </w14:solidFill>
                </w14:textFill>
              </w:rPr>
              <w:t>10</w:t>
            </w:r>
            <w:r>
              <w:rPr>
                <w:rFonts w:hint="eastAsia" w:ascii="Times New Roman" w:hAnsi="Times New Roman"/>
                <w:color w:val="000000" w:themeColor="text1"/>
                <w:sz w:val="24"/>
                <w14:textFill>
                  <w14:solidFill>
                    <w14:schemeClr w14:val="tx1"/>
                  </w14:solidFill>
                </w14:textFill>
              </w:rPr>
              <w:t>均满足环境质量要求。</w:t>
            </w:r>
          </w:p>
          <w:p>
            <w:pPr>
              <w:spacing w:line="480" w:lineRule="exact"/>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2、地表水质量现状</w:t>
            </w:r>
          </w:p>
          <w:p>
            <w:pPr>
              <w:autoSpaceDE w:val="0"/>
              <w:autoSpaceDN w:val="0"/>
              <w:adjustRightInd w:val="0"/>
              <w:snapToGrid w:val="0"/>
              <w:spacing w:line="480" w:lineRule="exact"/>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项目所在区域地表水体为厂区</w:t>
            </w:r>
            <w:r>
              <w:rPr>
                <w:rFonts w:hint="eastAsia"/>
                <w:color w:val="000000" w:themeColor="text1"/>
                <w:sz w:val="24"/>
                <w14:textFill>
                  <w14:solidFill>
                    <w14:schemeClr w14:val="tx1"/>
                  </w14:solidFill>
                </w14:textFill>
              </w:rPr>
              <w:t>北</w:t>
            </w:r>
            <w:r>
              <w:rPr>
                <w:color w:val="000000" w:themeColor="text1"/>
                <w:sz w:val="24"/>
                <w14:textFill>
                  <w14:solidFill>
                    <w14:schemeClr w14:val="tx1"/>
                  </w14:solidFill>
                </w14:textFill>
              </w:rPr>
              <w:t>侧</w:t>
            </w:r>
            <w:r>
              <w:rPr>
                <w:rFonts w:hint="eastAsia"/>
                <w:color w:val="000000" w:themeColor="text1"/>
                <w:sz w:val="24"/>
                <w14:textFill>
                  <w14:solidFill>
                    <w14:schemeClr w14:val="tx1"/>
                  </w14:solidFill>
                </w14:textFill>
              </w:rPr>
              <w:t>310</w:t>
            </w:r>
            <w:r>
              <w:rPr>
                <w:color w:val="000000" w:themeColor="text1"/>
                <w:sz w:val="24"/>
                <w14:textFill>
                  <w14:solidFill>
                    <w14:schemeClr w14:val="tx1"/>
                  </w14:solidFill>
                </w14:textFill>
              </w:rPr>
              <w:t>m处的</w:t>
            </w:r>
            <w:r>
              <w:rPr>
                <w:rFonts w:hint="eastAsia"/>
                <w:color w:val="000000" w:themeColor="text1"/>
                <w:sz w:val="24"/>
                <w14:textFill>
                  <w14:solidFill>
                    <w14:schemeClr w14:val="tx1"/>
                  </w14:solidFill>
                </w14:textFill>
              </w:rPr>
              <w:t>石湖河，为恢河支流</w:t>
            </w:r>
            <w:r>
              <w:rPr>
                <w:color w:val="000000" w:themeColor="text1"/>
                <w:sz w:val="24"/>
                <w14:textFill>
                  <w14:solidFill>
                    <w14:schemeClr w14:val="tx1"/>
                  </w14:solidFill>
                </w14:textFill>
              </w:rPr>
              <w:t>，本项目废水零排放，不会对地表水体产生影响，因此本次本次评价未进行地表水环境质量现状的监测。</w:t>
            </w:r>
          </w:p>
          <w:p>
            <w:pPr>
              <w:spacing w:line="480" w:lineRule="exact"/>
              <w:rPr>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3、</w:t>
            </w:r>
            <w:r>
              <w:rPr>
                <w:rFonts w:eastAsia="黑体"/>
                <w:bCs/>
                <w:color w:val="000000" w:themeColor="text1"/>
                <w:sz w:val="24"/>
                <w14:textFill>
                  <w14:solidFill>
                    <w14:schemeClr w14:val="tx1"/>
                  </w14:solidFill>
                </w14:textFill>
              </w:rPr>
              <w:t>声环境质量现状</w:t>
            </w:r>
          </w:p>
          <w:p>
            <w:pPr>
              <w:spacing w:line="5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建设单位委托山西昌兴同创安全技术服务有限公司于</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20年12月20日</w:t>
            </w:r>
            <w:r>
              <w:rPr>
                <w:rFonts w:hint="eastAsia"/>
                <w:bCs/>
                <w:color w:val="000000" w:themeColor="text1"/>
                <w:sz w:val="24"/>
                <w14:textFill>
                  <w14:solidFill>
                    <w14:schemeClr w14:val="tx1"/>
                  </w14:solidFill>
                </w14:textFill>
              </w:rPr>
              <w:t>对项目厂界四周</w:t>
            </w:r>
            <w:r>
              <w:rPr>
                <w:rFonts w:hint="eastAsia"/>
                <w:color w:val="000000" w:themeColor="text1"/>
                <w:sz w:val="24"/>
                <w14:textFill>
                  <w14:solidFill>
                    <w14:schemeClr w14:val="tx1"/>
                  </w14:solidFill>
                </w14:textFill>
              </w:rPr>
              <w:t>声环境进行了现状监测，监测结果见下表。</w:t>
            </w:r>
          </w:p>
          <w:p>
            <w:pPr>
              <w:spacing w:before="156" w:beforeLines="50" w:line="500" w:lineRule="exact"/>
              <w:ind w:firstLine="1325" w:firstLineChars="55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表3-3</w:t>
            </w:r>
            <w:r>
              <w:rPr>
                <w:b/>
                <w:bCs/>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噪声现状监测结果表</w:t>
            </w:r>
            <w:r>
              <w:rPr>
                <w:b/>
                <w:bCs/>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单位：</w:t>
            </w:r>
            <w:r>
              <w:rPr>
                <w:b/>
                <w:bCs/>
                <w:color w:val="000000" w:themeColor="text1"/>
                <w:sz w:val="24"/>
                <w14:textFill>
                  <w14:solidFill>
                    <w14:schemeClr w14:val="tx1"/>
                  </w14:solidFill>
                </w14:textFill>
              </w:rPr>
              <w:t>dB</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A</w:t>
            </w:r>
            <w:r>
              <w:rPr>
                <w:rFonts w:hint="eastAsia"/>
                <w:b/>
                <w:bCs/>
                <w:color w:val="000000" w:themeColor="text1"/>
                <w:sz w:val="24"/>
                <w14:textFill>
                  <w14:solidFill>
                    <w14:schemeClr w14:val="tx1"/>
                  </w14:solidFill>
                </w14:textFill>
              </w:rPr>
              <w:t>）</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878"/>
              <w:gridCol w:w="878"/>
              <w:gridCol w:w="880"/>
              <w:gridCol w:w="882"/>
              <w:gridCol w:w="874"/>
              <w:gridCol w:w="878"/>
              <w:gridCol w:w="874"/>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8" w:type="pct"/>
                  <w:vMerge w:val="restart"/>
                  <w:tcBorders>
                    <w:tl2br w:val="single" w:color="auto" w:sz="4" w:space="0"/>
                  </w:tcBorders>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监测结果</w:t>
                  </w:r>
                </w:p>
                <w:p>
                  <w:pPr>
                    <w:widowControl/>
                    <w:adjustRightInd w:val="0"/>
                    <w:snapToGrid w:val="0"/>
                    <w:spacing w:line="300" w:lineRule="exact"/>
                    <w:jc w:val="center"/>
                    <w:rPr>
                      <w:color w:val="000000" w:themeColor="text1"/>
                      <w:szCs w:val="21"/>
                      <w14:textFill>
                        <w14:solidFill>
                          <w14:schemeClr w14:val="tx1"/>
                        </w14:solidFill>
                      </w14:textFill>
                    </w:rPr>
                  </w:pPr>
                </w:p>
                <w:p>
                  <w:pPr>
                    <w:widowControl/>
                    <w:adjustRightInd w:val="0"/>
                    <w:snapToGrid w:val="0"/>
                    <w:spacing w:line="3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监测点位</w:t>
                  </w:r>
                </w:p>
              </w:tc>
              <w:tc>
                <w:tcPr>
                  <w:tcW w:w="3901" w:type="pct"/>
                  <w:gridSpan w:val="8"/>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监测日期：2020年12月20日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vMerge w:val="continue"/>
                  <w:vAlign w:val="center"/>
                </w:tcPr>
                <w:p>
                  <w:pPr>
                    <w:widowControl/>
                    <w:adjustRightInd w:val="0"/>
                    <w:snapToGrid w:val="0"/>
                    <w:spacing w:line="300" w:lineRule="exact"/>
                    <w:jc w:val="left"/>
                    <w:rPr>
                      <w:color w:val="000000" w:themeColor="text1"/>
                      <w:szCs w:val="21"/>
                      <w14:textFill>
                        <w14:solidFill>
                          <w14:schemeClr w14:val="tx1"/>
                        </w14:solidFill>
                      </w14:textFill>
                    </w:rPr>
                  </w:pPr>
                </w:p>
              </w:tc>
              <w:tc>
                <w:tcPr>
                  <w:tcW w:w="1951" w:type="pct"/>
                  <w:gridSpan w:val="4"/>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1950" w:type="pct"/>
                  <w:gridSpan w:val="4"/>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8" w:type="pct"/>
                  <w:vMerge w:val="continue"/>
                  <w:vAlign w:val="center"/>
                </w:tcPr>
                <w:p>
                  <w:pPr>
                    <w:widowControl/>
                    <w:adjustRightInd w:val="0"/>
                    <w:snapToGrid w:val="0"/>
                    <w:spacing w:line="300" w:lineRule="exact"/>
                    <w:jc w:val="left"/>
                    <w:rPr>
                      <w:color w:val="000000" w:themeColor="text1"/>
                      <w:szCs w:val="21"/>
                      <w14:textFill>
                        <w14:solidFill>
                          <w14:schemeClr w14:val="tx1"/>
                        </w14:solidFill>
                      </w14:textFill>
                    </w:rPr>
                  </w:pP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Leq</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w:t>
                  </w:r>
                  <w:r>
                    <w:rPr>
                      <w:color w:val="000000" w:themeColor="text1"/>
                      <w:szCs w:val="21"/>
                      <w:vertAlign w:val="subscript"/>
                      <w14:textFill>
                        <w14:solidFill>
                          <w14:schemeClr w14:val="tx1"/>
                        </w14:solidFill>
                      </w14:textFill>
                    </w:rPr>
                    <w:t>10</w:t>
                  </w:r>
                </w:p>
              </w:tc>
              <w:tc>
                <w:tcPr>
                  <w:tcW w:w="48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w:t>
                  </w:r>
                  <w:r>
                    <w:rPr>
                      <w:color w:val="000000" w:themeColor="text1"/>
                      <w:szCs w:val="21"/>
                      <w:vertAlign w:val="subscript"/>
                      <w14:textFill>
                        <w14:solidFill>
                          <w14:schemeClr w14:val="tx1"/>
                        </w14:solidFill>
                      </w14:textFill>
                    </w:rPr>
                    <w:t>50</w:t>
                  </w:r>
                </w:p>
              </w:tc>
              <w:tc>
                <w:tcPr>
                  <w:tcW w:w="489"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w:t>
                  </w:r>
                  <w:r>
                    <w:rPr>
                      <w:color w:val="000000" w:themeColor="text1"/>
                      <w:szCs w:val="21"/>
                      <w:vertAlign w:val="subscript"/>
                      <w14:textFill>
                        <w14:solidFill>
                          <w14:schemeClr w14:val="tx1"/>
                        </w14:solidFill>
                      </w14:textFill>
                    </w:rPr>
                    <w:t>90</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Leq</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w:t>
                  </w:r>
                  <w:r>
                    <w:rPr>
                      <w:color w:val="000000" w:themeColor="text1"/>
                      <w:szCs w:val="21"/>
                      <w:vertAlign w:val="subscript"/>
                      <w14:textFill>
                        <w14:solidFill>
                          <w14:schemeClr w14:val="tx1"/>
                        </w14:solidFill>
                      </w14:textFill>
                    </w:rPr>
                    <w:t>10</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w:t>
                  </w:r>
                  <w:r>
                    <w:rPr>
                      <w:color w:val="000000" w:themeColor="text1"/>
                      <w:szCs w:val="21"/>
                      <w:vertAlign w:val="subscript"/>
                      <w14:textFill>
                        <w14:solidFill>
                          <w14:schemeClr w14:val="tx1"/>
                        </w14:solidFill>
                      </w14:textFill>
                    </w:rPr>
                    <w:t>50</w:t>
                  </w:r>
                </w:p>
              </w:tc>
              <w:tc>
                <w:tcPr>
                  <w:tcW w:w="491"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w:t>
                  </w:r>
                  <w:r>
                    <w:rPr>
                      <w:color w:val="000000" w:themeColor="text1"/>
                      <w:szCs w:val="21"/>
                      <w:vertAlign w:val="subscript"/>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1#（厂界东）</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51.4</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54.2</w:t>
                  </w:r>
                </w:p>
              </w:tc>
              <w:tc>
                <w:tcPr>
                  <w:tcW w:w="48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50.6</w:t>
                  </w:r>
                </w:p>
              </w:tc>
              <w:tc>
                <w:tcPr>
                  <w:tcW w:w="489"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47.4</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42.2</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44.6</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41.8</w:t>
                  </w:r>
                </w:p>
              </w:tc>
              <w:tc>
                <w:tcPr>
                  <w:tcW w:w="491"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2#（厂界南）</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51.8</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54.8</w:t>
                  </w:r>
                </w:p>
              </w:tc>
              <w:tc>
                <w:tcPr>
                  <w:tcW w:w="48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50.8</w:t>
                  </w:r>
                </w:p>
              </w:tc>
              <w:tc>
                <w:tcPr>
                  <w:tcW w:w="489"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47.2</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42.3</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45.2</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40.4</w:t>
                  </w:r>
                </w:p>
              </w:tc>
              <w:tc>
                <w:tcPr>
                  <w:tcW w:w="491"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3#（厂界西）</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52.1</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55.2</w:t>
                  </w:r>
                </w:p>
              </w:tc>
              <w:tc>
                <w:tcPr>
                  <w:tcW w:w="48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49.6</w:t>
                  </w:r>
                </w:p>
              </w:tc>
              <w:tc>
                <w:tcPr>
                  <w:tcW w:w="489"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44.8</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43.3</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46.0</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42.6</w:t>
                  </w:r>
                </w:p>
              </w:tc>
              <w:tc>
                <w:tcPr>
                  <w:tcW w:w="491"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4#（厂界北）</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52.4</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55.4</w:t>
                  </w:r>
                </w:p>
              </w:tc>
              <w:tc>
                <w:tcPr>
                  <w:tcW w:w="488"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51.8</w:t>
                  </w:r>
                </w:p>
              </w:tc>
              <w:tc>
                <w:tcPr>
                  <w:tcW w:w="489"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42.2</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42.7</w:t>
                  </w:r>
                </w:p>
              </w:tc>
              <w:tc>
                <w:tcPr>
                  <w:tcW w:w="487"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45.6</w:t>
                  </w:r>
                </w:p>
              </w:tc>
              <w:tc>
                <w:tcPr>
                  <w:tcW w:w="485"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41.4</w:t>
                  </w:r>
                </w:p>
              </w:tc>
              <w:tc>
                <w:tcPr>
                  <w:tcW w:w="491" w:type="pct"/>
                  <w:vAlign w:val="center"/>
                </w:tcPr>
                <w:p>
                  <w:pPr>
                    <w:widowControl/>
                    <w:adjustRightInd w:val="0"/>
                    <w:snapToGri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39.0</w:t>
                  </w:r>
                </w:p>
              </w:tc>
            </w:tr>
          </w:tbl>
          <w:p>
            <w:pPr>
              <w:spacing w:line="48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由上表可以看出，</w:t>
            </w:r>
            <w:r>
              <w:rPr>
                <w:rFonts w:hint="eastAsia"/>
                <w:bCs/>
                <w:color w:val="000000" w:themeColor="text1"/>
                <w:sz w:val="24"/>
                <w14:textFill>
                  <w14:solidFill>
                    <w14:schemeClr w14:val="tx1"/>
                  </w14:solidFill>
                </w14:textFill>
              </w:rPr>
              <w:t>项目厂界四周</w:t>
            </w:r>
            <w:r>
              <w:rPr>
                <w:rFonts w:hint="eastAsia"/>
                <w:color w:val="000000" w:themeColor="text1"/>
                <w:sz w:val="24"/>
                <w14:textFill>
                  <w14:solidFill>
                    <w14:schemeClr w14:val="tx1"/>
                  </w14:solidFill>
                </w14:textFill>
              </w:rPr>
              <w:t>昼间、夜间噪声值均未超过《声环境质量标准》</w:t>
            </w:r>
            <w:r>
              <w:rPr>
                <w:color w:val="000000" w:themeColor="text1"/>
                <w:sz w:val="24"/>
                <w14:textFill>
                  <w14:solidFill>
                    <w14:schemeClr w14:val="tx1"/>
                  </w14:solidFill>
                </w14:textFill>
              </w:rPr>
              <w:t>(GB3096-2008)</w:t>
            </w:r>
            <w:r>
              <w:rPr>
                <w:rFonts w:hint="eastAsia"/>
                <w:color w:val="000000" w:themeColor="text1"/>
                <w:sz w:val="24"/>
                <w14:textFill>
                  <w14:solidFill>
                    <w14:schemeClr w14:val="tx1"/>
                  </w14:solidFill>
                </w14:textFill>
              </w:rPr>
              <w:t>中的1类标准限值要求。本项目声环境质量良好。</w:t>
            </w:r>
          </w:p>
          <w:p>
            <w:pPr>
              <w:spacing w:line="460" w:lineRule="exact"/>
              <w:rPr>
                <w:rFonts w:hAnsi="黑体" w:eastAsia="黑体" w:cs="宋体"/>
                <w:color w:val="000000" w:themeColor="text1"/>
                <w:kern w:val="0"/>
                <w:sz w:val="24"/>
                <w:szCs w:val="20"/>
                <w14:textFill>
                  <w14:solidFill>
                    <w14:schemeClr w14:val="tx1"/>
                  </w14:solidFill>
                </w14:textFill>
              </w:rPr>
            </w:pPr>
            <w:r>
              <w:rPr>
                <w:rFonts w:hAnsi="黑体" w:eastAsia="黑体" w:cs="宋体"/>
                <w:color w:val="000000" w:themeColor="text1"/>
                <w:kern w:val="0"/>
                <w:sz w:val="24"/>
                <w:szCs w:val="20"/>
                <w14:textFill>
                  <w14:solidFill>
                    <w14:schemeClr w14:val="tx1"/>
                  </w14:solidFill>
                </w14:textFill>
              </w:rPr>
              <w:t>4</w:t>
            </w:r>
            <w:r>
              <w:rPr>
                <w:rFonts w:hint="eastAsia" w:hAnsi="黑体" w:eastAsia="黑体" w:cs="宋体"/>
                <w:color w:val="000000" w:themeColor="text1"/>
                <w:kern w:val="0"/>
                <w:sz w:val="24"/>
                <w:szCs w:val="20"/>
                <w14:textFill>
                  <w14:solidFill>
                    <w14:schemeClr w14:val="tx1"/>
                  </w14:solidFill>
                </w14:textFill>
              </w:rPr>
              <w:t>、地下水环境现状</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见本项目地下水环境专题。</w:t>
            </w:r>
          </w:p>
          <w:p>
            <w:pPr>
              <w:spacing w:line="480" w:lineRule="exact"/>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5、</w:t>
            </w:r>
            <w:r>
              <w:rPr>
                <w:rFonts w:eastAsia="黑体"/>
                <w:bCs/>
                <w:color w:val="000000" w:themeColor="text1"/>
                <w:sz w:val="24"/>
                <w14:textFill>
                  <w14:solidFill>
                    <w14:schemeClr w14:val="tx1"/>
                  </w14:solidFill>
                </w14:textFill>
              </w:rPr>
              <w:t>生态环境现状</w:t>
            </w:r>
          </w:p>
          <w:p>
            <w:pPr>
              <w:spacing w:line="480" w:lineRule="exact"/>
              <w:ind w:firstLine="480" w:firstLineChars="200"/>
              <w:jc w:val="left"/>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本项目所在地周边以</w:t>
            </w:r>
            <w:r>
              <w:rPr>
                <w:rFonts w:hint="eastAsia"/>
                <w:color w:val="000000" w:themeColor="text1"/>
                <w:sz w:val="24"/>
                <w:szCs w:val="20"/>
                <w14:textFill>
                  <w14:solidFill>
                    <w14:schemeClr w14:val="tx1"/>
                  </w14:solidFill>
                </w14:textFill>
              </w:rPr>
              <w:t>荒地</w:t>
            </w:r>
            <w:r>
              <w:rPr>
                <w:color w:val="000000" w:themeColor="text1"/>
                <w:sz w:val="24"/>
                <w:szCs w:val="20"/>
                <w14:textFill>
                  <w14:solidFill>
                    <w14:schemeClr w14:val="tx1"/>
                  </w14:solidFill>
                </w14:textFill>
              </w:rPr>
              <w:t>生态系统为主，未见需特殊保护的野生动物、濒危或珍稀物种等，</w:t>
            </w:r>
            <w:r>
              <w:rPr>
                <w:bCs/>
                <w:color w:val="000000" w:themeColor="text1"/>
                <w:sz w:val="24"/>
                <w:szCs w:val="20"/>
                <w14:textFill>
                  <w14:solidFill>
                    <w14:schemeClr w14:val="tx1"/>
                  </w14:solidFill>
                </w14:textFill>
              </w:rPr>
              <w:t>无国家保护级的植物分布。</w:t>
            </w:r>
          </w:p>
          <w:p>
            <w:pPr>
              <w:spacing w:line="480" w:lineRule="exact"/>
              <w:ind w:firstLine="480" w:firstLineChars="200"/>
              <w:jc w:val="left"/>
              <w:rPr>
                <w:color w:val="000000" w:themeColor="text1"/>
                <w:sz w:val="24"/>
                <w:szCs w:val="20"/>
                <w14:textFill>
                  <w14:solidFill>
                    <w14:schemeClr w14:val="tx1"/>
                  </w14:solidFill>
                </w14:textFill>
              </w:rPr>
            </w:pPr>
          </w:p>
          <w:p>
            <w:pPr>
              <w:spacing w:line="480" w:lineRule="exact"/>
              <w:ind w:firstLine="480" w:firstLineChars="200"/>
              <w:jc w:val="left"/>
              <w:rPr>
                <w:color w:val="000000" w:themeColor="text1"/>
                <w:sz w:val="24"/>
                <w:szCs w:val="20"/>
                <w14:textFill>
                  <w14:solidFill>
                    <w14:schemeClr w14:val="tx1"/>
                  </w14:solidFill>
                </w14:textFill>
              </w:rPr>
            </w:pPr>
          </w:p>
          <w:p>
            <w:pPr>
              <w:pStyle w:val="13"/>
            </w:pPr>
          </w:p>
          <w:p>
            <w:pPr>
              <w:spacing w:line="480" w:lineRule="exact"/>
              <w:ind w:firstLine="560" w:firstLineChars="200"/>
              <w:jc w:val="left"/>
              <w:rPr>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0" w:hRule="atLeast"/>
        </w:trPr>
        <w:tc>
          <w:tcPr>
            <w:tcW w:w="5000" w:type="pct"/>
          </w:tcPr>
          <w:p>
            <w:pPr>
              <w:spacing w:before="156" w:beforeLines="50" w:after="156" w:afterLines="50" w:line="480" w:lineRule="exact"/>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主要环境保护目标（列出名单及保护级别）：</w:t>
            </w:r>
          </w:p>
          <w:p>
            <w:pPr>
              <w:pStyle w:val="20"/>
              <w:numPr>
                <w:ilvl w:val="0"/>
                <w:numId w:val="2"/>
              </w:numPr>
              <w:spacing w:before="50" w:line="480" w:lineRule="exact"/>
              <w:ind w:left="463" w:firstLine="0"/>
              <w:rPr>
                <w:b/>
                <w:color w:val="000000" w:themeColor="text1"/>
                <w:kern w:val="2"/>
                <w:sz w:val="24"/>
                <w14:textFill>
                  <w14:solidFill>
                    <w14:schemeClr w14:val="tx1"/>
                  </w14:solidFill>
                </w14:textFill>
              </w:rPr>
            </w:pPr>
            <w:r>
              <w:rPr>
                <w:b/>
                <w:color w:val="000000" w:themeColor="text1"/>
                <w:kern w:val="2"/>
                <w:sz w:val="24"/>
                <w14:textFill>
                  <w14:solidFill>
                    <w14:schemeClr w14:val="tx1"/>
                  </w14:solidFill>
                </w14:textFill>
              </w:rPr>
              <w:t>环境保护目标</w:t>
            </w:r>
          </w:p>
          <w:p>
            <w:pPr>
              <w:pStyle w:val="20"/>
              <w:spacing w:line="480" w:lineRule="exact"/>
              <w:ind w:firstLine="480" w:firstLineChars="200"/>
              <w:rPr>
                <w:color w:val="000000" w:themeColor="text1"/>
                <w:kern w:val="2"/>
                <w:sz w:val="24"/>
                <w14:textFill>
                  <w14:solidFill>
                    <w14:schemeClr w14:val="tx1"/>
                  </w14:solidFill>
                </w14:textFill>
              </w:rPr>
            </w:pPr>
            <w:r>
              <w:rPr>
                <w:rFonts w:hAnsi="宋体"/>
                <w:color w:val="000000" w:themeColor="text1"/>
                <w:kern w:val="2"/>
                <w:sz w:val="24"/>
                <w14:textFill>
                  <w14:solidFill>
                    <w14:schemeClr w14:val="tx1"/>
                  </w14:solidFill>
                </w14:textFill>
              </w:rPr>
              <w:t>根据调查，评价区域内无国家重点及省级风景区、历史文化遗迹等保护区（地），属于农村地区，无特殊环境空气敏感因素，主要环境空气敏感目标为附近的村庄。因此本次评价确定评价区域内的村庄为社会环境关注区和人体健康关注区，附近植被为生态关注区。具体环境保护目标见表</w:t>
            </w:r>
            <w:r>
              <w:rPr>
                <w:rFonts w:hint="eastAsia"/>
                <w:color w:val="000000" w:themeColor="text1"/>
                <w:kern w:val="2"/>
                <w:sz w:val="24"/>
                <w14:textFill>
                  <w14:solidFill>
                    <w14:schemeClr w14:val="tx1"/>
                  </w14:solidFill>
                </w14:textFill>
              </w:rPr>
              <w:t>3-3</w:t>
            </w:r>
            <w:r>
              <w:rPr>
                <w:rFonts w:hAnsi="宋体"/>
                <w:color w:val="000000" w:themeColor="text1"/>
                <w:kern w:val="2"/>
                <w:sz w:val="24"/>
                <w14:textFill>
                  <w14:solidFill>
                    <w14:schemeClr w14:val="tx1"/>
                  </w14:solidFill>
                </w14:textFill>
              </w:rPr>
              <w:t>。</w:t>
            </w:r>
          </w:p>
          <w:p>
            <w:pPr>
              <w:pStyle w:val="51"/>
              <w:adjustRightInd/>
              <w:spacing w:before="0" w:after="0" w:line="480" w:lineRule="exact"/>
              <w:textAlignment w:val="auto"/>
              <w:rPr>
                <w:bCs/>
                <w:color w:val="000000" w:themeColor="text1"/>
                <w:kern w:val="2"/>
                <w:szCs w:val="24"/>
                <w14:textFill>
                  <w14:solidFill>
                    <w14:schemeClr w14:val="tx1"/>
                  </w14:solidFill>
                </w14:textFill>
              </w:rPr>
            </w:pPr>
            <w:r>
              <w:rPr>
                <w:bCs/>
                <w:color w:val="000000" w:themeColor="text1"/>
                <w:kern w:val="2"/>
                <w:szCs w:val="24"/>
                <w14:textFill>
                  <w14:solidFill>
                    <w14:schemeClr w14:val="tx1"/>
                  </w14:solidFill>
                </w14:textFill>
              </w:rPr>
              <w:t>表</w:t>
            </w:r>
            <w:r>
              <w:rPr>
                <w:rFonts w:hint="eastAsia"/>
                <w:bCs/>
                <w:color w:val="000000" w:themeColor="text1"/>
                <w:kern w:val="2"/>
                <w:szCs w:val="24"/>
                <w14:textFill>
                  <w14:solidFill>
                    <w14:schemeClr w14:val="tx1"/>
                  </w14:solidFill>
                </w14:textFill>
              </w:rPr>
              <w:t>3-3</w:t>
            </w:r>
            <w:r>
              <w:rPr>
                <w:szCs w:val="24"/>
              </w:rPr>
              <w:t xml:space="preserve"> 环境保护目标（环境空气）</w:t>
            </w:r>
          </w:p>
          <w:tbl>
            <w:tblPr>
              <w:tblStyle w:val="32"/>
              <w:tblW w:w="90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87"/>
              <w:gridCol w:w="1396"/>
              <w:gridCol w:w="1468"/>
              <w:gridCol w:w="661"/>
              <w:gridCol w:w="642"/>
              <w:gridCol w:w="1838"/>
              <w:gridCol w:w="828"/>
              <w:gridCol w:w="1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7" w:hRule="atLeast"/>
                <w:jc w:val="center"/>
              </w:trPr>
              <w:tc>
                <w:tcPr>
                  <w:tcW w:w="1187" w:type="dxa"/>
                  <w:vMerge w:val="restart"/>
                  <w:tcBorders>
                    <w:tl2br w:val="nil"/>
                    <w:tr2bl w:val="nil"/>
                  </w:tcBorders>
                  <w:vAlign w:val="center"/>
                </w:tcPr>
                <w:p>
                  <w:pPr>
                    <w:jc w:val="center"/>
                    <w:rPr>
                      <w:szCs w:val="21"/>
                    </w:rPr>
                  </w:pPr>
                  <w:r>
                    <w:rPr>
                      <w:szCs w:val="21"/>
                    </w:rPr>
                    <w:t>名称</w:t>
                  </w:r>
                </w:p>
              </w:tc>
              <w:tc>
                <w:tcPr>
                  <w:tcW w:w="2864" w:type="dxa"/>
                  <w:gridSpan w:val="2"/>
                  <w:tcBorders>
                    <w:tl2br w:val="nil"/>
                    <w:tr2bl w:val="nil"/>
                  </w:tcBorders>
                  <w:vAlign w:val="center"/>
                </w:tcPr>
                <w:p>
                  <w:pPr>
                    <w:jc w:val="center"/>
                    <w:rPr>
                      <w:szCs w:val="21"/>
                    </w:rPr>
                  </w:pPr>
                  <w:r>
                    <w:rPr>
                      <w:szCs w:val="21"/>
                    </w:rPr>
                    <w:t>坐标</w:t>
                  </w:r>
                </w:p>
              </w:tc>
              <w:tc>
                <w:tcPr>
                  <w:tcW w:w="661" w:type="dxa"/>
                  <w:vMerge w:val="restart"/>
                  <w:tcBorders>
                    <w:tl2br w:val="nil"/>
                    <w:tr2bl w:val="nil"/>
                  </w:tcBorders>
                  <w:vAlign w:val="center"/>
                </w:tcPr>
                <w:p>
                  <w:pPr>
                    <w:jc w:val="center"/>
                    <w:rPr>
                      <w:szCs w:val="21"/>
                    </w:rPr>
                  </w:pPr>
                  <w:r>
                    <w:rPr>
                      <w:szCs w:val="21"/>
                    </w:rPr>
                    <w:t>保护对象</w:t>
                  </w:r>
                </w:p>
              </w:tc>
              <w:tc>
                <w:tcPr>
                  <w:tcW w:w="642" w:type="dxa"/>
                  <w:vMerge w:val="restart"/>
                  <w:tcBorders>
                    <w:tl2br w:val="nil"/>
                    <w:tr2bl w:val="nil"/>
                  </w:tcBorders>
                  <w:vAlign w:val="center"/>
                </w:tcPr>
                <w:p>
                  <w:pPr>
                    <w:jc w:val="center"/>
                    <w:rPr>
                      <w:szCs w:val="21"/>
                    </w:rPr>
                  </w:pPr>
                  <w:r>
                    <w:rPr>
                      <w:szCs w:val="21"/>
                    </w:rPr>
                    <w:t>保护内容</w:t>
                  </w:r>
                </w:p>
              </w:tc>
              <w:tc>
                <w:tcPr>
                  <w:tcW w:w="1838" w:type="dxa"/>
                  <w:vMerge w:val="restart"/>
                  <w:tcBorders>
                    <w:tl2br w:val="nil"/>
                    <w:tr2bl w:val="nil"/>
                  </w:tcBorders>
                  <w:vAlign w:val="center"/>
                </w:tcPr>
                <w:p>
                  <w:pPr>
                    <w:jc w:val="center"/>
                    <w:rPr>
                      <w:szCs w:val="21"/>
                    </w:rPr>
                  </w:pPr>
                  <w:r>
                    <w:rPr>
                      <w:szCs w:val="21"/>
                    </w:rPr>
                    <w:t>环境功能区</w:t>
                  </w:r>
                </w:p>
              </w:tc>
              <w:tc>
                <w:tcPr>
                  <w:tcW w:w="828" w:type="dxa"/>
                  <w:vMerge w:val="restart"/>
                  <w:tcBorders>
                    <w:tl2br w:val="nil"/>
                    <w:tr2bl w:val="nil"/>
                  </w:tcBorders>
                  <w:vAlign w:val="center"/>
                </w:tcPr>
                <w:p>
                  <w:pPr>
                    <w:jc w:val="center"/>
                    <w:rPr>
                      <w:szCs w:val="21"/>
                    </w:rPr>
                  </w:pPr>
                  <w:r>
                    <w:rPr>
                      <w:szCs w:val="21"/>
                    </w:rPr>
                    <w:t>相对厂址方位</w:t>
                  </w:r>
                </w:p>
              </w:tc>
              <w:tc>
                <w:tcPr>
                  <w:tcW w:w="1050" w:type="dxa"/>
                  <w:vMerge w:val="restart"/>
                  <w:tcBorders>
                    <w:tl2br w:val="nil"/>
                    <w:tr2bl w:val="nil"/>
                  </w:tcBorders>
                  <w:vAlign w:val="center"/>
                </w:tcPr>
                <w:p>
                  <w:pPr>
                    <w:jc w:val="center"/>
                    <w:rPr>
                      <w:szCs w:val="21"/>
                    </w:rPr>
                  </w:pPr>
                  <w:r>
                    <w:rPr>
                      <w:szCs w:val="21"/>
                    </w:rPr>
                    <w:t>相对厂界距离m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vMerge w:val="continue"/>
                  <w:tcBorders>
                    <w:tl2br w:val="nil"/>
                    <w:tr2bl w:val="nil"/>
                  </w:tcBorders>
                  <w:vAlign w:val="center"/>
                </w:tcPr>
                <w:p>
                  <w:pPr>
                    <w:widowControl/>
                    <w:jc w:val="left"/>
                    <w:rPr>
                      <w:szCs w:val="21"/>
                    </w:rPr>
                  </w:pPr>
                </w:p>
              </w:tc>
              <w:tc>
                <w:tcPr>
                  <w:tcW w:w="1396" w:type="dxa"/>
                  <w:tcBorders>
                    <w:tl2br w:val="nil"/>
                    <w:tr2bl w:val="nil"/>
                  </w:tcBorders>
                  <w:vAlign w:val="center"/>
                </w:tcPr>
                <w:p>
                  <w:pPr>
                    <w:jc w:val="center"/>
                    <w:rPr>
                      <w:szCs w:val="21"/>
                    </w:rPr>
                  </w:pPr>
                  <w:r>
                    <w:rPr>
                      <w:szCs w:val="21"/>
                    </w:rPr>
                    <w:t>经度</w:t>
                  </w:r>
                </w:p>
              </w:tc>
              <w:tc>
                <w:tcPr>
                  <w:tcW w:w="1468" w:type="dxa"/>
                  <w:tcBorders>
                    <w:tl2br w:val="nil"/>
                    <w:tr2bl w:val="nil"/>
                  </w:tcBorders>
                  <w:vAlign w:val="center"/>
                </w:tcPr>
                <w:p>
                  <w:pPr>
                    <w:jc w:val="center"/>
                    <w:rPr>
                      <w:szCs w:val="21"/>
                    </w:rPr>
                  </w:pPr>
                  <w:r>
                    <w:rPr>
                      <w:szCs w:val="21"/>
                    </w:rPr>
                    <w:t>纬度</w:t>
                  </w:r>
                </w:p>
              </w:tc>
              <w:tc>
                <w:tcPr>
                  <w:tcW w:w="661" w:type="dxa"/>
                  <w:vMerge w:val="continue"/>
                  <w:tcBorders>
                    <w:tl2br w:val="nil"/>
                    <w:tr2bl w:val="nil"/>
                  </w:tcBorders>
                  <w:vAlign w:val="center"/>
                </w:tcPr>
                <w:p>
                  <w:pPr>
                    <w:widowControl/>
                    <w:jc w:val="left"/>
                    <w:rPr>
                      <w:b/>
                      <w:szCs w:val="21"/>
                    </w:rPr>
                  </w:pPr>
                </w:p>
              </w:tc>
              <w:tc>
                <w:tcPr>
                  <w:tcW w:w="642" w:type="dxa"/>
                  <w:vMerge w:val="continue"/>
                  <w:tcBorders>
                    <w:tl2br w:val="nil"/>
                    <w:tr2bl w:val="nil"/>
                  </w:tcBorders>
                  <w:vAlign w:val="center"/>
                </w:tcPr>
                <w:p>
                  <w:pPr>
                    <w:widowControl/>
                    <w:jc w:val="left"/>
                    <w:rPr>
                      <w:b/>
                      <w:szCs w:val="21"/>
                    </w:rPr>
                  </w:pPr>
                </w:p>
              </w:tc>
              <w:tc>
                <w:tcPr>
                  <w:tcW w:w="1838" w:type="dxa"/>
                  <w:vMerge w:val="continue"/>
                  <w:tcBorders>
                    <w:tl2br w:val="nil"/>
                    <w:tr2bl w:val="nil"/>
                  </w:tcBorders>
                  <w:vAlign w:val="center"/>
                </w:tcPr>
                <w:p>
                  <w:pPr>
                    <w:widowControl/>
                    <w:jc w:val="left"/>
                    <w:rPr>
                      <w:b/>
                      <w:szCs w:val="21"/>
                    </w:rPr>
                  </w:pPr>
                </w:p>
              </w:tc>
              <w:tc>
                <w:tcPr>
                  <w:tcW w:w="828" w:type="dxa"/>
                  <w:vMerge w:val="continue"/>
                  <w:tcBorders>
                    <w:tl2br w:val="nil"/>
                    <w:tr2bl w:val="nil"/>
                  </w:tcBorders>
                  <w:vAlign w:val="center"/>
                </w:tcPr>
                <w:p>
                  <w:pPr>
                    <w:widowControl/>
                    <w:jc w:val="left"/>
                    <w:rPr>
                      <w:b/>
                      <w:szCs w:val="21"/>
                    </w:rPr>
                  </w:pPr>
                </w:p>
              </w:tc>
              <w:tc>
                <w:tcPr>
                  <w:tcW w:w="1050" w:type="dxa"/>
                  <w:vMerge w:val="continue"/>
                  <w:tcBorders>
                    <w:tl2br w:val="nil"/>
                    <w:tr2bl w:val="nil"/>
                  </w:tcBorders>
                  <w:vAlign w:val="center"/>
                </w:tcPr>
                <w:p>
                  <w:pPr>
                    <w:widowControl/>
                    <w:jc w:val="left"/>
                    <w:rPr>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eastAsiaTheme="minorEastAsia"/>
                      <w:bCs/>
                      <w:kern w:val="0"/>
                      <w:szCs w:val="21"/>
                    </w:rPr>
                  </w:pPr>
                  <w:r>
                    <w:rPr>
                      <w:rFonts w:hint="eastAsia"/>
                      <w:bCs/>
                      <w:kern w:val="0"/>
                      <w:szCs w:val="21"/>
                    </w:rPr>
                    <w:t xml:space="preserve">后石湖村 </w:t>
                  </w:r>
                </w:p>
              </w:tc>
              <w:tc>
                <w:tcPr>
                  <w:tcW w:w="1396" w:type="dxa"/>
                  <w:tcBorders>
                    <w:tl2br w:val="nil"/>
                    <w:tr2bl w:val="nil"/>
                  </w:tcBorders>
                  <w:vAlign w:val="center"/>
                </w:tcPr>
                <w:p>
                  <w:pPr>
                    <w:jc w:val="center"/>
                    <w:rPr>
                      <w:rFonts w:eastAsiaTheme="minorEastAsia"/>
                      <w:szCs w:val="21"/>
                    </w:rPr>
                  </w:pPr>
                  <w:r>
                    <w:rPr>
                      <w:rFonts w:hint="eastAsia"/>
                      <w:szCs w:val="21"/>
                    </w:rPr>
                    <w:t>617596.726</w:t>
                  </w:r>
                </w:p>
              </w:tc>
              <w:tc>
                <w:tcPr>
                  <w:tcW w:w="1468" w:type="dxa"/>
                  <w:tcBorders>
                    <w:tl2br w:val="nil"/>
                    <w:tr2bl w:val="nil"/>
                  </w:tcBorders>
                  <w:vAlign w:val="center"/>
                </w:tcPr>
                <w:p>
                  <w:pPr>
                    <w:jc w:val="center"/>
                    <w:rPr>
                      <w:rFonts w:eastAsiaTheme="minorEastAsia"/>
                      <w:szCs w:val="21"/>
                    </w:rPr>
                  </w:pPr>
                  <w:r>
                    <w:rPr>
                      <w:rFonts w:hint="eastAsia"/>
                      <w:szCs w:val="21"/>
                    </w:rPr>
                    <w:t>4320843.991</w:t>
                  </w:r>
                </w:p>
              </w:tc>
              <w:tc>
                <w:tcPr>
                  <w:tcW w:w="661" w:type="dxa"/>
                  <w:vMerge w:val="restart"/>
                  <w:tcBorders>
                    <w:tl2br w:val="nil"/>
                    <w:tr2bl w:val="nil"/>
                  </w:tcBorders>
                  <w:vAlign w:val="center"/>
                </w:tcPr>
                <w:p>
                  <w:pPr>
                    <w:jc w:val="center"/>
                    <w:rPr>
                      <w:szCs w:val="21"/>
                    </w:rPr>
                  </w:pPr>
                  <w:r>
                    <w:rPr>
                      <w:szCs w:val="21"/>
                      <w:lang w:val="en-GB"/>
                    </w:rPr>
                    <w:t>居民</w:t>
                  </w:r>
                </w:p>
              </w:tc>
              <w:tc>
                <w:tcPr>
                  <w:tcW w:w="642" w:type="dxa"/>
                  <w:vMerge w:val="restart"/>
                  <w:tcBorders>
                    <w:tl2br w:val="nil"/>
                    <w:tr2bl w:val="nil"/>
                  </w:tcBorders>
                  <w:vAlign w:val="center"/>
                </w:tcPr>
                <w:p>
                  <w:pPr>
                    <w:jc w:val="center"/>
                    <w:rPr>
                      <w:szCs w:val="21"/>
                    </w:rPr>
                  </w:pPr>
                  <w:r>
                    <w:rPr>
                      <w:szCs w:val="21"/>
                    </w:rPr>
                    <w:t>空气质量</w:t>
                  </w:r>
                </w:p>
              </w:tc>
              <w:tc>
                <w:tcPr>
                  <w:tcW w:w="1838" w:type="dxa"/>
                  <w:vMerge w:val="restart"/>
                  <w:tcBorders>
                    <w:tl2br w:val="nil"/>
                    <w:tr2bl w:val="nil"/>
                  </w:tcBorders>
                  <w:vAlign w:val="center"/>
                </w:tcPr>
                <w:p>
                  <w:pPr>
                    <w:jc w:val="center"/>
                    <w:rPr>
                      <w:szCs w:val="21"/>
                    </w:rPr>
                  </w:pPr>
                  <w:r>
                    <w:rPr>
                      <w:szCs w:val="21"/>
                    </w:rPr>
                    <w:t>《环境空气质量标准》</w:t>
                  </w:r>
                  <w:r>
                    <w:rPr>
                      <w:szCs w:val="21"/>
                      <w:lang w:val="zh-CN"/>
                    </w:rPr>
                    <w:t>（</w:t>
                  </w:r>
                  <w:r>
                    <w:rPr>
                      <w:szCs w:val="21"/>
                    </w:rPr>
                    <w:t>GB3095-2012）二级标准</w:t>
                  </w:r>
                </w:p>
              </w:tc>
              <w:tc>
                <w:tcPr>
                  <w:tcW w:w="828" w:type="dxa"/>
                  <w:tcBorders>
                    <w:tl2br w:val="nil"/>
                    <w:tr2bl w:val="nil"/>
                  </w:tcBorders>
                  <w:vAlign w:val="center"/>
                </w:tcPr>
                <w:p>
                  <w:pPr>
                    <w:jc w:val="center"/>
                    <w:rPr>
                      <w:rFonts w:eastAsiaTheme="minorEastAsia"/>
                      <w:szCs w:val="21"/>
                    </w:rPr>
                  </w:pPr>
                  <w:r>
                    <w:rPr>
                      <w:rFonts w:hint="eastAsia"/>
                      <w:szCs w:val="21"/>
                    </w:rPr>
                    <w:t>东南</w:t>
                  </w:r>
                </w:p>
              </w:tc>
              <w:tc>
                <w:tcPr>
                  <w:tcW w:w="1050" w:type="dxa"/>
                  <w:tcBorders>
                    <w:tl2br w:val="nil"/>
                    <w:tr2bl w:val="nil"/>
                  </w:tcBorders>
                  <w:vAlign w:val="center"/>
                </w:tcPr>
                <w:p>
                  <w:pPr>
                    <w:jc w:val="center"/>
                    <w:rPr>
                      <w:rFonts w:eastAsiaTheme="minorEastAsia"/>
                      <w:szCs w:val="21"/>
                    </w:rPr>
                  </w:pPr>
                  <w:r>
                    <w:rPr>
                      <w:rFonts w:hint="eastAsia" w:eastAsiaTheme="minorEastAsia"/>
                      <w:szCs w:val="21"/>
                    </w:rPr>
                    <w:t>1695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eastAsiaTheme="minorEastAsia"/>
                      <w:bCs/>
                      <w:kern w:val="0"/>
                      <w:szCs w:val="21"/>
                    </w:rPr>
                  </w:pPr>
                  <w:r>
                    <w:rPr>
                      <w:rFonts w:hint="eastAsia"/>
                      <w:bCs/>
                      <w:kern w:val="0"/>
                      <w:szCs w:val="21"/>
                    </w:rPr>
                    <w:t>前石湖村</w:t>
                  </w:r>
                </w:p>
              </w:tc>
              <w:tc>
                <w:tcPr>
                  <w:tcW w:w="1396" w:type="dxa"/>
                  <w:tcBorders>
                    <w:tl2br w:val="nil"/>
                    <w:tr2bl w:val="nil"/>
                  </w:tcBorders>
                  <w:vAlign w:val="center"/>
                </w:tcPr>
                <w:p>
                  <w:pPr>
                    <w:jc w:val="center"/>
                    <w:rPr>
                      <w:rFonts w:eastAsiaTheme="minorEastAsia"/>
                      <w:szCs w:val="21"/>
                    </w:rPr>
                  </w:pPr>
                  <w:r>
                    <w:rPr>
                      <w:rFonts w:hint="eastAsia"/>
                      <w:szCs w:val="21"/>
                    </w:rPr>
                    <w:t>615991.018</w:t>
                  </w:r>
                </w:p>
              </w:tc>
              <w:tc>
                <w:tcPr>
                  <w:tcW w:w="1468" w:type="dxa"/>
                  <w:tcBorders>
                    <w:tl2br w:val="nil"/>
                    <w:tr2bl w:val="nil"/>
                  </w:tcBorders>
                  <w:vAlign w:val="center"/>
                </w:tcPr>
                <w:p>
                  <w:pPr>
                    <w:jc w:val="center"/>
                    <w:rPr>
                      <w:rFonts w:eastAsiaTheme="minorEastAsia"/>
                      <w:szCs w:val="21"/>
                    </w:rPr>
                  </w:pPr>
                  <w:r>
                    <w:rPr>
                      <w:rFonts w:hint="eastAsia"/>
                      <w:szCs w:val="21"/>
                    </w:rPr>
                    <w:t>4322520.409</w:t>
                  </w:r>
                </w:p>
              </w:tc>
              <w:tc>
                <w:tcPr>
                  <w:tcW w:w="661" w:type="dxa"/>
                  <w:vMerge w:val="continue"/>
                  <w:tcBorders>
                    <w:tl2br w:val="nil"/>
                    <w:tr2bl w:val="nil"/>
                  </w:tcBorders>
                  <w:vAlign w:val="center"/>
                </w:tcPr>
                <w:p>
                  <w:pPr>
                    <w:widowControl/>
                    <w:jc w:val="left"/>
                    <w:rPr>
                      <w:szCs w:val="21"/>
                    </w:rPr>
                  </w:pPr>
                </w:p>
              </w:tc>
              <w:tc>
                <w:tcPr>
                  <w:tcW w:w="642" w:type="dxa"/>
                  <w:vMerge w:val="continue"/>
                  <w:tcBorders>
                    <w:tl2br w:val="nil"/>
                    <w:tr2bl w:val="nil"/>
                  </w:tcBorders>
                  <w:vAlign w:val="center"/>
                </w:tcPr>
                <w:p>
                  <w:pPr>
                    <w:widowControl/>
                    <w:jc w:val="left"/>
                    <w:rPr>
                      <w:szCs w:val="21"/>
                    </w:rPr>
                  </w:pPr>
                </w:p>
              </w:tc>
              <w:tc>
                <w:tcPr>
                  <w:tcW w:w="1838" w:type="dxa"/>
                  <w:vMerge w:val="continue"/>
                  <w:tcBorders>
                    <w:tl2br w:val="nil"/>
                    <w:tr2bl w:val="nil"/>
                  </w:tcBorders>
                  <w:vAlign w:val="center"/>
                </w:tcPr>
                <w:p>
                  <w:pPr>
                    <w:widowControl/>
                    <w:jc w:val="left"/>
                    <w:rPr>
                      <w:szCs w:val="21"/>
                    </w:rPr>
                  </w:pPr>
                </w:p>
              </w:tc>
              <w:tc>
                <w:tcPr>
                  <w:tcW w:w="828" w:type="dxa"/>
                  <w:tcBorders>
                    <w:tl2br w:val="nil"/>
                    <w:tr2bl w:val="nil"/>
                  </w:tcBorders>
                  <w:vAlign w:val="center"/>
                </w:tcPr>
                <w:p>
                  <w:pPr>
                    <w:jc w:val="center"/>
                    <w:rPr>
                      <w:rFonts w:eastAsiaTheme="minorEastAsia"/>
                      <w:szCs w:val="21"/>
                    </w:rPr>
                  </w:pPr>
                  <w:r>
                    <w:rPr>
                      <w:rFonts w:hint="eastAsia"/>
                      <w:szCs w:val="21"/>
                    </w:rPr>
                    <w:t>北</w:t>
                  </w:r>
                </w:p>
              </w:tc>
              <w:tc>
                <w:tcPr>
                  <w:tcW w:w="1050" w:type="dxa"/>
                  <w:tcBorders>
                    <w:tl2br w:val="nil"/>
                    <w:tr2bl w:val="nil"/>
                  </w:tcBorders>
                  <w:vAlign w:val="center"/>
                </w:tcPr>
                <w:p>
                  <w:pPr>
                    <w:jc w:val="center"/>
                    <w:rPr>
                      <w:rFonts w:eastAsiaTheme="minorEastAsia"/>
                      <w:szCs w:val="21"/>
                    </w:rPr>
                  </w:pPr>
                  <w:r>
                    <w:rPr>
                      <w:rFonts w:hint="eastAsia" w:eastAsiaTheme="minorEastAsia"/>
                      <w:szCs w:val="21"/>
                    </w:rPr>
                    <w:t>560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eastAsiaTheme="minorEastAsia"/>
                      <w:bCs/>
                      <w:kern w:val="0"/>
                      <w:szCs w:val="21"/>
                    </w:rPr>
                  </w:pPr>
                  <w:r>
                    <w:rPr>
                      <w:rFonts w:hint="eastAsia"/>
                      <w:bCs/>
                      <w:kern w:val="0"/>
                      <w:szCs w:val="21"/>
                    </w:rPr>
                    <w:t>南庄村</w:t>
                  </w:r>
                </w:p>
              </w:tc>
              <w:tc>
                <w:tcPr>
                  <w:tcW w:w="1396" w:type="dxa"/>
                  <w:tcBorders>
                    <w:tl2br w:val="nil"/>
                    <w:tr2bl w:val="nil"/>
                  </w:tcBorders>
                  <w:vAlign w:val="center"/>
                </w:tcPr>
                <w:p>
                  <w:pPr>
                    <w:jc w:val="center"/>
                    <w:rPr>
                      <w:rFonts w:eastAsiaTheme="minorEastAsia"/>
                      <w:szCs w:val="21"/>
                    </w:rPr>
                  </w:pPr>
                  <w:r>
                    <w:rPr>
                      <w:rFonts w:hint="eastAsia"/>
                      <w:szCs w:val="21"/>
                    </w:rPr>
                    <w:t>615792.217</w:t>
                  </w:r>
                </w:p>
              </w:tc>
              <w:tc>
                <w:tcPr>
                  <w:tcW w:w="1468" w:type="dxa"/>
                  <w:tcBorders>
                    <w:tl2br w:val="nil"/>
                    <w:tr2bl w:val="nil"/>
                  </w:tcBorders>
                  <w:vAlign w:val="center"/>
                </w:tcPr>
                <w:p>
                  <w:pPr>
                    <w:jc w:val="center"/>
                    <w:rPr>
                      <w:rFonts w:eastAsiaTheme="minorEastAsia"/>
                      <w:szCs w:val="21"/>
                    </w:rPr>
                  </w:pPr>
                  <w:r>
                    <w:rPr>
                      <w:rFonts w:hint="eastAsia"/>
                      <w:szCs w:val="21"/>
                    </w:rPr>
                    <w:t>4323786.406</w:t>
                  </w:r>
                </w:p>
              </w:tc>
              <w:tc>
                <w:tcPr>
                  <w:tcW w:w="661" w:type="dxa"/>
                  <w:vMerge w:val="continue"/>
                  <w:tcBorders>
                    <w:tl2br w:val="nil"/>
                    <w:tr2bl w:val="nil"/>
                  </w:tcBorders>
                  <w:vAlign w:val="center"/>
                </w:tcPr>
                <w:p>
                  <w:pPr>
                    <w:widowControl/>
                    <w:jc w:val="left"/>
                    <w:rPr>
                      <w:szCs w:val="21"/>
                    </w:rPr>
                  </w:pPr>
                </w:p>
              </w:tc>
              <w:tc>
                <w:tcPr>
                  <w:tcW w:w="642" w:type="dxa"/>
                  <w:vMerge w:val="continue"/>
                  <w:tcBorders>
                    <w:tl2br w:val="nil"/>
                    <w:tr2bl w:val="nil"/>
                  </w:tcBorders>
                  <w:vAlign w:val="center"/>
                </w:tcPr>
                <w:p>
                  <w:pPr>
                    <w:widowControl/>
                    <w:jc w:val="left"/>
                    <w:rPr>
                      <w:szCs w:val="21"/>
                    </w:rPr>
                  </w:pPr>
                </w:p>
              </w:tc>
              <w:tc>
                <w:tcPr>
                  <w:tcW w:w="1838" w:type="dxa"/>
                  <w:vMerge w:val="continue"/>
                  <w:tcBorders>
                    <w:tl2br w:val="nil"/>
                    <w:tr2bl w:val="nil"/>
                  </w:tcBorders>
                  <w:vAlign w:val="center"/>
                </w:tcPr>
                <w:p>
                  <w:pPr>
                    <w:widowControl/>
                    <w:jc w:val="left"/>
                    <w:rPr>
                      <w:szCs w:val="21"/>
                    </w:rPr>
                  </w:pPr>
                </w:p>
              </w:tc>
              <w:tc>
                <w:tcPr>
                  <w:tcW w:w="828" w:type="dxa"/>
                  <w:tcBorders>
                    <w:tl2br w:val="nil"/>
                    <w:tr2bl w:val="nil"/>
                  </w:tcBorders>
                  <w:vAlign w:val="center"/>
                </w:tcPr>
                <w:p>
                  <w:pPr>
                    <w:jc w:val="center"/>
                    <w:rPr>
                      <w:rFonts w:eastAsiaTheme="minorEastAsia"/>
                      <w:szCs w:val="21"/>
                    </w:rPr>
                  </w:pPr>
                  <w:r>
                    <w:rPr>
                      <w:rFonts w:hint="eastAsia"/>
                      <w:szCs w:val="21"/>
                    </w:rPr>
                    <w:t>北</w:t>
                  </w:r>
                </w:p>
              </w:tc>
              <w:tc>
                <w:tcPr>
                  <w:tcW w:w="1050" w:type="dxa"/>
                  <w:tcBorders>
                    <w:tl2br w:val="nil"/>
                    <w:tr2bl w:val="nil"/>
                  </w:tcBorders>
                  <w:vAlign w:val="center"/>
                </w:tcPr>
                <w:p>
                  <w:pPr>
                    <w:jc w:val="center"/>
                    <w:rPr>
                      <w:rFonts w:eastAsiaTheme="minorEastAsia"/>
                      <w:szCs w:val="21"/>
                    </w:rPr>
                  </w:pPr>
                  <w:r>
                    <w:rPr>
                      <w:rFonts w:hint="eastAsia" w:eastAsiaTheme="minorEastAsia"/>
                      <w:szCs w:val="21"/>
                    </w:rPr>
                    <w:t>1805</w:t>
                  </w:r>
                </w:p>
              </w:tc>
            </w:tr>
          </w:tbl>
          <w:p>
            <w:pPr>
              <w:pStyle w:val="51"/>
              <w:adjustRightInd/>
              <w:spacing w:before="0" w:after="0" w:line="500" w:lineRule="exact"/>
              <w:rPr>
                <w:rFonts w:eastAsiaTheme="minorEastAsia"/>
                <w:bCs/>
                <w:kern w:val="2"/>
                <w:szCs w:val="24"/>
              </w:rPr>
            </w:pPr>
            <w:r>
              <w:rPr>
                <w:rFonts w:eastAsiaTheme="minorEastAsia"/>
                <w:kern w:val="2"/>
                <w:szCs w:val="24"/>
              </w:rPr>
              <w:t>表3-</w:t>
            </w:r>
            <w:r>
              <w:rPr>
                <w:rFonts w:hint="eastAsia" w:eastAsiaTheme="minorEastAsia"/>
                <w:kern w:val="2"/>
                <w:szCs w:val="24"/>
              </w:rPr>
              <w:t>4</w:t>
            </w:r>
            <w:r>
              <w:rPr>
                <w:rFonts w:eastAsiaTheme="minorEastAsia"/>
                <w:kern w:val="2"/>
                <w:szCs w:val="24"/>
              </w:rPr>
              <w:t>环境保护目标（其他环境要素）</w:t>
            </w:r>
          </w:p>
          <w:tbl>
            <w:tblPr>
              <w:tblStyle w:val="32"/>
              <w:tblW w:w="901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948"/>
              <w:gridCol w:w="1212"/>
              <w:gridCol w:w="1466"/>
              <w:gridCol w:w="322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627" w:hRule="atLeast"/>
                <w:jc w:val="center"/>
              </w:trPr>
              <w:tc>
                <w:tcPr>
                  <w:tcW w:w="1163" w:type="dxa"/>
                  <w:tcBorders>
                    <w:tl2br w:val="nil"/>
                    <w:tr2bl w:val="nil"/>
                  </w:tcBorders>
                  <w:vAlign w:val="center"/>
                </w:tcPr>
                <w:p>
                  <w:pPr>
                    <w:ind w:left="-105" w:leftChars="-50" w:right="-105" w:rightChars="-50"/>
                    <w:jc w:val="center"/>
                    <w:rPr>
                      <w:kern w:val="0"/>
                      <w:szCs w:val="21"/>
                    </w:rPr>
                  </w:pPr>
                  <w:r>
                    <w:rPr>
                      <w:kern w:val="0"/>
                      <w:szCs w:val="21"/>
                    </w:rPr>
                    <w:t>环境</w:t>
                  </w:r>
                </w:p>
                <w:p>
                  <w:pPr>
                    <w:ind w:left="-105" w:leftChars="-50" w:right="-105" w:rightChars="-50"/>
                    <w:jc w:val="center"/>
                    <w:rPr>
                      <w:kern w:val="0"/>
                      <w:szCs w:val="21"/>
                    </w:rPr>
                  </w:pPr>
                  <w:r>
                    <w:rPr>
                      <w:kern w:val="0"/>
                      <w:szCs w:val="21"/>
                    </w:rPr>
                    <w:t>要素</w:t>
                  </w:r>
                </w:p>
              </w:tc>
              <w:tc>
                <w:tcPr>
                  <w:tcW w:w="1948" w:type="dxa"/>
                  <w:tcBorders>
                    <w:tl2br w:val="nil"/>
                    <w:tr2bl w:val="nil"/>
                  </w:tcBorders>
                  <w:vAlign w:val="center"/>
                </w:tcPr>
                <w:p>
                  <w:pPr>
                    <w:jc w:val="center"/>
                    <w:rPr>
                      <w:kern w:val="0"/>
                      <w:szCs w:val="21"/>
                    </w:rPr>
                  </w:pPr>
                  <w:r>
                    <w:rPr>
                      <w:kern w:val="0"/>
                      <w:szCs w:val="21"/>
                    </w:rPr>
                    <w:t>保护目标</w:t>
                  </w:r>
                </w:p>
              </w:tc>
              <w:tc>
                <w:tcPr>
                  <w:tcW w:w="1212" w:type="dxa"/>
                  <w:tcBorders>
                    <w:tl2br w:val="nil"/>
                    <w:tr2bl w:val="nil"/>
                  </w:tcBorders>
                  <w:vAlign w:val="center"/>
                </w:tcPr>
                <w:p>
                  <w:pPr>
                    <w:jc w:val="center"/>
                    <w:rPr>
                      <w:kern w:val="0"/>
                      <w:szCs w:val="21"/>
                    </w:rPr>
                  </w:pPr>
                  <w:r>
                    <w:rPr>
                      <w:kern w:val="0"/>
                      <w:szCs w:val="21"/>
                    </w:rPr>
                    <w:t>方位</w:t>
                  </w:r>
                </w:p>
              </w:tc>
              <w:tc>
                <w:tcPr>
                  <w:tcW w:w="1466" w:type="dxa"/>
                  <w:tcBorders>
                    <w:tl2br w:val="nil"/>
                    <w:tr2bl w:val="nil"/>
                  </w:tcBorders>
                  <w:vAlign w:val="center"/>
                </w:tcPr>
                <w:p>
                  <w:pPr>
                    <w:jc w:val="center"/>
                    <w:rPr>
                      <w:kern w:val="0"/>
                      <w:szCs w:val="21"/>
                    </w:rPr>
                  </w:pPr>
                  <w:r>
                    <w:rPr>
                      <w:kern w:val="0"/>
                      <w:szCs w:val="21"/>
                    </w:rPr>
                    <w:t>距离</w:t>
                  </w:r>
                </w:p>
                <w:p>
                  <w:pPr>
                    <w:jc w:val="center"/>
                    <w:rPr>
                      <w:kern w:val="0"/>
                      <w:szCs w:val="21"/>
                    </w:rPr>
                  </w:pPr>
                  <w:r>
                    <w:rPr>
                      <w:kern w:val="0"/>
                      <w:szCs w:val="21"/>
                    </w:rPr>
                    <w:t>(m)</w:t>
                  </w:r>
                </w:p>
              </w:tc>
              <w:tc>
                <w:tcPr>
                  <w:tcW w:w="3228" w:type="dxa"/>
                  <w:tcBorders>
                    <w:tl2br w:val="nil"/>
                    <w:tr2bl w:val="nil"/>
                  </w:tcBorders>
                  <w:vAlign w:val="center"/>
                </w:tcPr>
                <w:p>
                  <w:pPr>
                    <w:jc w:val="center"/>
                    <w:rPr>
                      <w:kern w:val="0"/>
                      <w:szCs w:val="21"/>
                    </w:rPr>
                  </w:pPr>
                  <w:r>
                    <w:rPr>
                      <w:kern w:val="0"/>
                      <w:szCs w:val="21"/>
                    </w:rPr>
                    <w:t>保护要求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653" w:hRule="atLeast"/>
                <w:jc w:val="center"/>
              </w:trPr>
              <w:tc>
                <w:tcPr>
                  <w:tcW w:w="1163" w:type="dxa"/>
                  <w:tcBorders>
                    <w:tl2br w:val="nil"/>
                    <w:tr2bl w:val="nil"/>
                  </w:tcBorders>
                  <w:vAlign w:val="center"/>
                </w:tcPr>
                <w:p>
                  <w:pPr>
                    <w:ind w:left="-105" w:leftChars="-50" w:right="-105" w:rightChars="-50"/>
                    <w:jc w:val="center"/>
                    <w:rPr>
                      <w:kern w:val="0"/>
                      <w:szCs w:val="21"/>
                    </w:rPr>
                  </w:pPr>
                  <w:r>
                    <w:rPr>
                      <w:kern w:val="0"/>
                      <w:szCs w:val="21"/>
                    </w:rPr>
                    <w:t>地表水</w:t>
                  </w:r>
                </w:p>
              </w:tc>
              <w:tc>
                <w:tcPr>
                  <w:tcW w:w="1948" w:type="dxa"/>
                  <w:tcBorders>
                    <w:tl2br w:val="nil"/>
                    <w:tr2bl w:val="nil"/>
                  </w:tcBorders>
                  <w:vAlign w:val="center"/>
                </w:tcPr>
                <w:p>
                  <w:pPr>
                    <w:jc w:val="center"/>
                    <w:rPr>
                      <w:bCs/>
                      <w:szCs w:val="21"/>
                    </w:rPr>
                  </w:pPr>
                  <w:r>
                    <w:rPr>
                      <w:rFonts w:hint="eastAsia"/>
                      <w:bCs/>
                      <w:szCs w:val="21"/>
                    </w:rPr>
                    <w:t>石湖</w:t>
                  </w:r>
                  <w:r>
                    <w:rPr>
                      <w:bCs/>
                      <w:szCs w:val="21"/>
                    </w:rPr>
                    <w:t>河</w:t>
                  </w:r>
                </w:p>
              </w:tc>
              <w:tc>
                <w:tcPr>
                  <w:tcW w:w="1212" w:type="dxa"/>
                  <w:tcBorders>
                    <w:tl2br w:val="nil"/>
                    <w:tr2bl w:val="nil"/>
                  </w:tcBorders>
                  <w:vAlign w:val="center"/>
                </w:tcPr>
                <w:p>
                  <w:pPr>
                    <w:jc w:val="center"/>
                    <w:rPr>
                      <w:rFonts w:eastAsiaTheme="minorEastAsia"/>
                      <w:bCs/>
                      <w:szCs w:val="21"/>
                    </w:rPr>
                  </w:pPr>
                  <w:r>
                    <w:rPr>
                      <w:rFonts w:hint="eastAsia"/>
                      <w:bCs/>
                      <w:szCs w:val="21"/>
                    </w:rPr>
                    <w:t>北</w:t>
                  </w:r>
                </w:p>
              </w:tc>
              <w:tc>
                <w:tcPr>
                  <w:tcW w:w="1466" w:type="dxa"/>
                  <w:tcBorders>
                    <w:tl2br w:val="nil"/>
                    <w:tr2bl w:val="nil"/>
                  </w:tcBorders>
                  <w:vAlign w:val="center"/>
                </w:tcPr>
                <w:p>
                  <w:pPr>
                    <w:jc w:val="center"/>
                    <w:rPr>
                      <w:rFonts w:eastAsiaTheme="minorEastAsia"/>
                      <w:bCs/>
                      <w:szCs w:val="21"/>
                    </w:rPr>
                  </w:pPr>
                  <w:r>
                    <w:rPr>
                      <w:rFonts w:hint="eastAsia" w:eastAsiaTheme="minorEastAsia"/>
                      <w:bCs/>
                      <w:szCs w:val="21"/>
                    </w:rPr>
                    <w:t>310</w:t>
                  </w:r>
                </w:p>
              </w:tc>
              <w:tc>
                <w:tcPr>
                  <w:tcW w:w="3228" w:type="dxa"/>
                  <w:tcBorders>
                    <w:tl2br w:val="nil"/>
                    <w:tr2bl w:val="nil"/>
                  </w:tcBorders>
                  <w:vAlign w:val="center"/>
                </w:tcPr>
                <w:p>
                  <w:pPr>
                    <w:ind w:left="-105" w:leftChars="-50" w:right="-105" w:rightChars="-50"/>
                    <w:jc w:val="center"/>
                  </w:pPr>
                  <w:r>
                    <w:t>《地表水环境质量标准》（GB3838 -2002）</w:t>
                  </w:r>
                  <w:r>
                    <w:fldChar w:fldCharType="begin"/>
                  </w:r>
                  <w:r>
                    <w:instrText xml:space="preserve"> </w:instrText>
                  </w:r>
                  <w:r>
                    <w:rPr>
                      <w:rFonts w:hint="eastAsia"/>
                    </w:rPr>
                    <w:instrText xml:space="preserve">= 5 \* ROMAN</w:instrText>
                  </w:r>
                  <w:r>
                    <w:instrText xml:space="preserve"> </w:instrText>
                  </w:r>
                  <w:r>
                    <w:fldChar w:fldCharType="separate"/>
                  </w:r>
                  <w:r>
                    <w:t>V</w:t>
                  </w:r>
                  <w:r>
                    <w:fldChar w:fldCharType="end"/>
                  </w:r>
                  <w:r>
                    <w:t>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653" w:hRule="atLeast"/>
                <w:jc w:val="center"/>
              </w:trPr>
              <w:tc>
                <w:tcPr>
                  <w:tcW w:w="1163" w:type="dxa"/>
                  <w:tcBorders>
                    <w:tl2br w:val="nil"/>
                    <w:tr2bl w:val="nil"/>
                  </w:tcBorders>
                  <w:vAlign w:val="center"/>
                </w:tcPr>
                <w:p>
                  <w:pPr>
                    <w:ind w:left="-105" w:leftChars="-50" w:right="-105" w:rightChars="-50"/>
                    <w:jc w:val="center"/>
                    <w:rPr>
                      <w:rFonts w:hint="eastAsia" w:eastAsia="宋体"/>
                      <w:kern w:val="0"/>
                      <w:szCs w:val="21"/>
                      <w:lang w:eastAsia="zh-CN"/>
                    </w:rPr>
                  </w:pPr>
                  <w:r>
                    <w:rPr>
                      <w:rFonts w:hint="eastAsia"/>
                      <w:kern w:val="0"/>
                      <w:szCs w:val="21"/>
                      <w:lang w:eastAsia="zh-CN"/>
                    </w:rPr>
                    <w:t>地下水</w:t>
                  </w:r>
                </w:p>
              </w:tc>
              <w:tc>
                <w:tcPr>
                  <w:tcW w:w="1948" w:type="dxa"/>
                  <w:tcBorders>
                    <w:tl2br w:val="nil"/>
                    <w:tr2bl w:val="nil"/>
                  </w:tcBorders>
                  <w:vAlign w:val="center"/>
                </w:tcPr>
                <w:p>
                  <w:pPr>
                    <w:jc w:val="center"/>
                    <w:rPr>
                      <w:rFonts w:hint="eastAsia" w:eastAsia="宋体"/>
                      <w:bCs/>
                      <w:szCs w:val="21"/>
                      <w:lang w:eastAsia="zh-CN"/>
                    </w:rPr>
                  </w:pPr>
                  <w:r>
                    <w:rPr>
                      <w:rFonts w:hint="eastAsia"/>
                      <w:bCs/>
                      <w:szCs w:val="21"/>
                      <w:lang w:eastAsia="zh-CN"/>
                    </w:rPr>
                    <w:t>后石湖村水井</w:t>
                  </w:r>
                </w:p>
              </w:tc>
              <w:tc>
                <w:tcPr>
                  <w:tcW w:w="1212" w:type="dxa"/>
                  <w:tcBorders>
                    <w:tl2br w:val="nil"/>
                    <w:tr2bl w:val="nil"/>
                  </w:tcBorders>
                  <w:vAlign w:val="center"/>
                </w:tcPr>
                <w:p>
                  <w:pPr>
                    <w:jc w:val="center"/>
                    <w:rPr>
                      <w:rFonts w:hint="eastAsia" w:eastAsia="宋体"/>
                      <w:bCs/>
                      <w:szCs w:val="21"/>
                      <w:lang w:eastAsia="zh-CN"/>
                    </w:rPr>
                  </w:pPr>
                  <w:r>
                    <w:rPr>
                      <w:rFonts w:hint="eastAsia"/>
                      <w:bCs/>
                      <w:szCs w:val="21"/>
                      <w:lang w:eastAsia="zh-CN"/>
                    </w:rPr>
                    <w:t>西南</w:t>
                  </w:r>
                </w:p>
              </w:tc>
              <w:tc>
                <w:tcPr>
                  <w:tcW w:w="1466" w:type="dxa"/>
                  <w:tcBorders>
                    <w:tl2br w:val="nil"/>
                    <w:tr2bl w:val="nil"/>
                  </w:tcBorders>
                  <w:vAlign w:val="center"/>
                </w:tcPr>
                <w:p>
                  <w:pPr>
                    <w:jc w:val="center"/>
                    <w:rPr>
                      <w:rFonts w:hint="default" w:eastAsiaTheme="minorEastAsia"/>
                      <w:bCs/>
                      <w:szCs w:val="21"/>
                      <w:lang w:val="en-US" w:eastAsia="zh-CN"/>
                    </w:rPr>
                  </w:pPr>
                  <w:r>
                    <w:rPr>
                      <w:rFonts w:hint="eastAsia" w:eastAsiaTheme="minorEastAsia"/>
                      <w:bCs/>
                      <w:szCs w:val="21"/>
                      <w:lang w:val="en-US" w:eastAsia="zh-CN"/>
                    </w:rPr>
                    <w:t>1700</w:t>
                  </w:r>
                </w:p>
              </w:tc>
              <w:tc>
                <w:tcPr>
                  <w:tcW w:w="3228" w:type="dxa"/>
                  <w:tcBorders>
                    <w:tl2br w:val="nil"/>
                    <w:tr2bl w:val="nil"/>
                  </w:tcBorders>
                  <w:vAlign w:val="center"/>
                </w:tcPr>
                <w:p>
                  <w:pPr>
                    <w:ind w:left="-105" w:leftChars="-50" w:right="-105" w:rightChars="-50"/>
                    <w:jc w:val="center"/>
                  </w:pPr>
                  <w:r>
                    <w:t>《地下水质量标准》（GB/T14848</w:t>
                  </w:r>
                  <w:r>
                    <w:rPr>
                      <w:rFonts w:hint="eastAsia"/>
                    </w:rPr>
                    <w:t>-2017</w:t>
                  </w:r>
                  <w:r>
                    <w:t>）</w:t>
                  </w:r>
                  <w:r>
                    <w:rPr>
                      <w:rFonts w:hint="eastAsia"/>
                    </w:rPr>
                    <w:t>Ⅲ</w:t>
                  </w:r>
                  <w:r>
                    <w:t>类水质标准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3" w:type="dxa"/>
                  <w:tcBorders>
                    <w:tl2br w:val="nil"/>
                    <w:tr2bl w:val="nil"/>
                  </w:tcBorders>
                  <w:vAlign w:val="center"/>
                </w:tcPr>
                <w:p>
                  <w:pPr>
                    <w:ind w:left="-105" w:leftChars="-50" w:right="-105" w:rightChars="-50"/>
                    <w:jc w:val="center"/>
                    <w:rPr>
                      <w:kern w:val="0"/>
                      <w:szCs w:val="21"/>
                    </w:rPr>
                  </w:pPr>
                  <w:r>
                    <w:rPr>
                      <w:kern w:val="0"/>
                      <w:szCs w:val="21"/>
                    </w:rPr>
                    <w:t>声环境</w:t>
                  </w:r>
                </w:p>
              </w:tc>
              <w:tc>
                <w:tcPr>
                  <w:tcW w:w="4626" w:type="dxa"/>
                  <w:gridSpan w:val="3"/>
                  <w:tcBorders>
                    <w:tl2br w:val="nil"/>
                    <w:tr2bl w:val="nil"/>
                  </w:tcBorders>
                  <w:vAlign w:val="center"/>
                </w:tcPr>
                <w:p>
                  <w:pPr>
                    <w:jc w:val="center"/>
                    <w:rPr>
                      <w:szCs w:val="21"/>
                    </w:rPr>
                  </w:pPr>
                  <w:r>
                    <w:rPr>
                      <w:szCs w:val="21"/>
                    </w:rPr>
                    <w:t>厂界噪声</w:t>
                  </w:r>
                </w:p>
              </w:tc>
              <w:tc>
                <w:tcPr>
                  <w:tcW w:w="3228" w:type="dxa"/>
                  <w:tcBorders>
                    <w:tl2br w:val="nil"/>
                    <w:tr2bl w:val="nil"/>
                  </w:tcBorders>
                  <w:vAlign w:val="center"/>
                </w:tcPr>
                <w:p>
                  <w:pPr>
                    <w:ind w:left="-105" w:leftChars="-50" w:right="-105" w:rightChars="-50"/>
                    <w:jc w:val="center"/>
                    <w:rPr>
                      <w:rFonts w:eastAsiaTheme="minorEastAsia"/>
                      <w:szCs w:val="21"/>
                    </w:rPr>
                  </w:pPr>
                  <w:r>
                    <w:rPr>
                      <w:szCs w:val="21"/>
                    </w:rPr>
                    <w:t>《声环境质量标准》（GB3096-2008）</w:t>
                  </w:r>
                  <w:r>
                    <w:rPr>
                      <w:rFonts w:hint="eastAsia"/>
                      <w:szCs w:val="21"/>
                    </w:rPr>
                    <w:t>1</w:t>
                  </w:r>
                  <w:r>
                    <w:rPr>
                      <w:szCs w:val="21"/>
                    </w:rPr>
                    <w:t>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63" w:type="dxa"/>
                  <w:tcBorders>
                    <w:tl2br w:val="nil"/>
                    <w:tr2bl w:val="nil"/>
                  </w:tcBorders>
                  <w:vAlign w:val="center"/>
                </w:tcPr>
                <w:p>
                  <w:pPr>
                    <w:ind w:left="-105" w:leftChars="-50" w:right="-105" w:rightChars="-50"/>
                    <w:jc w:val="center"/>
                    <w:rPr>
                      <w:kern w:val="0"/>
                      <w:szCs w:val="21"/>
                    </w:rPr>
                  </w:pPr>
                  <w:r>
                    <w:rPr>
                      <w:kern w:val="0"/>
                      <w:szCs w:val="21"/>
                    </w:rPr>
                    <w:t>生态环境</w:t>
                  </w:r>
                </w:p>
              </w:tc>
              <w:tc>
                <w:tcPr>
                  <w:tcW w:w="4626" w:type="dxa"/>
                  <w:gridSpan w:val="3"/>
                  <w:tcBorders>
                    <w:tl2br w:val="nil"/>
                    <w:tr2bl w:val="nil"/>
                  </w:tcBorders>
                  <w:vAlign w:val="center"/>
                </w:tcPr>
                <w:p>
                  <w:pPr>
                    <w:jc w:val="center"/>
                  </w:pPr>
                  <w:r>
                    <w:rPr>
                      <w:bCs/>
                    </w:rPr>
                    <w:t>评价区土壤、植被、农作物</w:t>
                  </w:r>
                  <w:r>
                    <w:rPr>
                      <w:szCs w:val="21"/>
                    </w:rPr>
                    <w:t>等生态环境</w:t>
                  </w:r>
                </w:p>
              </w:tc>
              <w:tc>
                <w:tcPr>
                  <w:tcW w:w="3228" w:type="dxa"/>
                  <w:tcBorders>
                    <w:tl2br w:val="nil"/>
                    <w:tr2bl w:val="nil"/>
                  </w:tcBorders>
                  <w:vAlign w:val="center"/>
                </w:tcPr>
                <w:p>
                  <w:pPr>
                    <w:ind w:left="-105" w:leftChars="-50" w:right="-105" w:rightChars="-50"/>
                    <w:jc w:val="center"/>
                    <w:rPr>
                      <w:szCs w:val="21"/>
                    </w:rPr>
                  </w:pPr>
                  <w:r>
                    <w:rPr>
                      <w:bCs/>
                    </w:rPr>
                    <w:t>在严格控制项目生态影响的前提下，加强厂区绿化。</w:t>
                  </w:r>
                  <w:r>
                    <w:rPr>
                      <w:szCs w:val="21"/>
                    </w:rPr>
                    <w:t xml:space="preserve"> </w:t>
                  </w:r>
                </w:p>
              </w:tc>
            </w:tr>
          </w:tbl>
          <w:p>
            <w:pPr>
              <w:pStyle w:val="20"/>
              <w:numPr>
                <w:ilvl w:val="0"/>
                <w:numId w:val="2"/>
              </w:numPr>
              <w:spacing w:before="50" w:line="480" w:lineRule="exact"/>
              <w:ind w:left="463" w:firstLine="0"/>
              <w:rPr>
                <w:b/>
                <w:color w:val="000000" w:themeColor="text1"/>
                <w:kern w:val="2"/>
                <w:sz w:val="24"/>
                <w14:textFill>
                  <w14:solidFill>
                    <w14:schemeClr w14:val="tx1"/>
                  </w14:solidFill>
                </w14:textFill>
              </w:rPr>
            </w:pPr>
            <w:r>
              <w:rPr>
                <w:b/>
                <w:color w:val="000000" w:themeColor="text1"/>
                <w:kern w:val="2"/>
                <w:sz w:val="24"/>
                <w14:textFill>
                  <w14:solidFill>
                    <w14:schemeClr w14:val="tx1"/>
                  </w14:solidFill>
                </w14:textFill>
              </w:rPr>
              <w:t>环境保护级别</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（1）大气环境：环境空气质量达到《环境空气质量标准》（GB3095-2012）二级标准要求。</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color w:val="000000" w:themeColor="text1"/>
                <w:spacing w:val="-8"/>
                <w:sz w:val="24"/>
                <w14:textFill>
                  <w14:solidFill>
                    <w14:schemeClr w14:val="tx1"/>
                  </w14:solidFill>
                </w14:textFill>
              </w:rPr>
              <w:t>地下水环境达</w:t>
            </w:r>
            <w:r>
              <w:rPr>
                <w:rFonts w:hint="eastAsia"/>
                <w:color w:val="000000" w:themeColor="text1"/>
                <w:spacing w:val="-8"/>
                <w:sz w:val="24"/>
                <w14:textFill>
                  <w14:solidFill>
                    <w14:schemeClr w14:val="tx1"/>
                  </w14:solidFill>
                </w14:textFill>
              </w:rPr>
              <w:t>到</w:t>
            </w:r>
            <w:r>
              <w:rPr>
                <w:color w:val="000000" w:themeColor="text1"/>
                <w:sz w:val="24"/>
                <w14:textFill>
                  <w14:solidFill>
                    <w14:schemeClr w14:val="tx1"/>
                  </w14:solidFill>
                </w14:textFill>
              </w:rPr>
              <w:t>《地下水质量标准》（GB/T14848</w:t>
            </w:r>
            <w:r>
              <w:rPr>
                <w:rFonts w:hint="eastAsia"/>
                <w:color w:val="000000" w:themeColor="text1"/>
                <w:sz w:val="24"/>
                <w14:textFill>
                  <w14:solidFill>
                    <w14:schemeClr w14:val="tx1"/>
                  </w14:solidFill>
                </w14:textFill>
              </w:rPr>
              <w:t>-2017</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Ⅲ</w:t>
            </w:r>
            <w:r>
              <w:rPr>
                <w:color w:val="000000" w:themeColor="text1"/>
                <w:sz w:val="24"/>
                <w14:textFill>
                  <w14:solidFill>
                    <w14:schemeClr w14:val="tx1"/>
                  </w14:solidFill>
                </w14:textFill>
              </w:rPr>
              <w:t>类水质标准。</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rFonts w:hint="eastAsia"/>
                <w:color w:val="000000" w:themeColor="text1"/>
                <w:spacing w:val="-8"/>
                <w:sz w:val="24"/>
                <w14:textFill>
                  <w14:solidFill>
                    <w14:schemeClr w14:val="tx1"/>
                  </w14:solidFill>
                </w14:textFill>
              </w:rPr>
              <w:t>地表水</w:t>
            </w:r>
            <w:r>
              <w:rPr>
                <w:color w:val="000000" w:themeColor="text1"/>
                <w:spacing w:val="-8"/>
                <w:sz w:val="24"/>
                <w14:textFill>
                  <w14:solidFill>
                    <w14:schemeClr w14:val="tx1"/>
                  </w14:solidFill>
                </w14:textFill>
              </w:rPr>
              <w:t>环境达</w:t>
            </w:r>
            <w:r>
              <w:rPr>
                <w:rFonts w:hint="eastAsia"/>
                <w:color w:val="000000" w:themeColor="text1"/>
                <w:spacing w:val="-8"/>
                <w:sz w:val="24"/>
                <w14:textFill>
                  <w14:solidFill>
                    <w14:schemeClr w14:val="tx1"/>
                  </w14:solidFill>
                </w14:textFill>
              </w:rPr>
              <w:t>到</w:t>
            </w:r>
            <w:r>
              <w:rPr>
                <w:rFonts w:hint="eastAsia"/>
                <w:color w:val="000000" w:themeColor="text1"/>
                <w:sz w:val="24"/>
                <w14:textFill>
                  <w14:solidFill>
                    <w14:schemeClr w14:val="tx1"/>
                  </w14:solidFill>
                </w14:textFill>
              </w:rPr>
              <w:t>《地表水环境质量标准》（</w:t>
            </w:r>
            <w:r>
              <w:rPr>
                <w:color w:val="000000" w:themeColor="text1"/>
                <w:sz w:val="24"/>
                <w14:textFill>
                  <w14:solidFill>
                    <w14:schemeClr w14:val="tx1"/>
                  </w14:solidFill>
                </w14:textFill>
              </w:rPr>
              <w:t>GB3838-2002</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Ⅱ</w:t>
            </w:r>
            <w:r>
              <w:rPr>
                <w:rFonts w:hint="eastAsia"/>
                <w:color w:val="000000" w:themeColor="text1"/>
                <w:sz w:val="24"/>
                <w14:textFill>
                  <w14:solidFill>
                    <w14:schemeClr w14:val="tx1"/>
                  </w14:solidFill>
                </w14:textFill>
              </w:rPr>
              <w:t>类水质标准。</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color w:val="000000" w:themeColor="text1"/>
                <w:spacing w:val="-8"/>
                <w:sz w:val="24"/>
                <w14:textFill>
                  <w14:solidFill>
                    <w14:schemeClr w14:val="tx1"/>
                  </w14:solidFill>
                </w14:textFill>
              </w:rPr>
              <w:t>声环境质量达</w:t>
            </w:r>
            <w:r>
              <w:rPr>
                <w:color w:val="000000" w:themeColor="text1"/>
                <w:sz w:val="24"/>
                <w14:textFill>
                  <w14:solidFill>
                    <w14:schemeClr w14:val="tx1"/>
                  </w14:solidFill>
                </w14:textFill>
              </w:rPr>
              <w:t>《声环境质量标准》（GB3096－2008）</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类标准</w:t>
            </w:r>
            <w:r>
              <w:rPr>
                <w:rFonts w:hint="eastAsia"/>
                <w:color w:val="000000" w:themeColor="text1"/>
                <w:sz w:val="24"/>
                <w14:textFill>
                  <w14:solidFill>
                    <w14:schemeClr w14:val="tx1"/>
                  </w14:solidFill>
                </w14:textFill>
              </w:rPr>
              <w:t>。</w:t>
            </w: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13"/>
              <w:rPr>
                <w:color w:val="000000" w:themeColor="text1"/>
                <w:sz w:val="24"/>
                <w:szCs w:val="22"/>
                <w14:textFill>
                  <w14:solidFill>
                    <w14:schemeClr w14:val="tx1"/>
                  </w14:solidFill>
                </w14:textFill>
              </w:rPr>
            </w:pPr>
          </w:p>
          <w:p>
            <w:pPr>
              <w:pStyle w:val="20"/>
              <w:spacing w:line="480" w:lineRule="exact"/>
              <w:ind w:firstLine="0"/>
              <w:rPr>
                <w:color w:val="000000" w:themeColor="text1"/>
                <w:kern w:val="2"/>
                <w:szCs w:val="28"/>
                <w14:textFill>
                  <w14:solidFill>
                    <w14:schemeClr w14:val="tx1"/>
                  </w14:solidFill>
                </w14:textFill>
              </w:rPr>
            </w:pPr>
          </w:p>
        </w:tc>
      </w:tr>
    </w:tbl>
    <w:p>
      <w:pPr>
        <w:rPr>
          <w:rFonts w:eastAsia="黑体"/>
          <w:bCs/>
          <w:color w:val="000000" w:themeColor="text1"/>
          <w:sz w:val="30"/>
          <w:szCs w:val="30"/>
          <w14:textFill>
            <w14:solidFill>
              <w14:schemeClr w14:val="tx1"/>
            </w14:solidFill>
          </w14:textFill>
        </w:rPr>
        <w:sectPr>
          <w:pgSz w:w="11906" w:h="16838"/>
          <w:pgMar w:top="1418" w:right="1440" w:bottom="1418" w:left="1440" w:header="851" w:footer="992" w:gutter="0"/>
          <w:cols w:space="425" w:num="1"/>
          <w:docGrid w:type="lines" w:linePitch="312" w:charSpace="0"/>
        </w:sectPr>
      </w:pPr>
    </w:p>
    <w:p>
      <w:pPr>
        <w:outlineLvl w:val="0"/>
        <w:rPr>
          <w:rFonts w:eastAsia="黑体"/>
          <w:bCs/>
          <w:color w:val="000000" w:themeColor="text1"/>
          <w:sz w:val="30"/>
          <w:szCs w:val="30"/>
          <w14:textFill>
            <w14:solidFill>
              <w14:schemeClr w14:val="tx1"/>
            </w14:solidFill>
          </w14:textFill>
        </w:rPr>
      </w:pPr>
      <w:r>
        <w:rPr>
          <w:rFonts w:eastAsia="黑体"/>
          <w:bCs/>
          <w:color w:val="000000" w:themeColor="text1"/>
          <w:sz w:val="30"/>
          <w:szCs w:val="30"/>
          <w14:textFill>
            <w14:solidFill>
              <w14:schemeClr w14:val="tx1"/>
            </w14:solidFill>
          </w14:textFill>
        </w:rPr>
        <w:t>评价适用标准</w:t>
      </w:r>
    </w:p>
    <w:tbl>
      <w:tblPr>
        <w:tblStyle w:val="32"/>
        <w:tblW w:w="5043"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6"/>
        <w:gridCol w:w="88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trPr>
        <w:tc>
          <w:tcPr>
            <w:tcW w:w="266" w:type="pct"/>
            <w:vAlign w:val="center"/>
          </w:tcPr>
          <w:p>
            <w:pPr>
              <w:spacing w:line="44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环</w:t>
            </w:r>
          </w:p>
          <w:p>
            <w:pPr>
              <w:spacing w:line="44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境</w:t>
            </w:r>
          </w:p>
          <w:p>
            <w:pPr>
              <w:spacing w:line="44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质</w:t>
            </w:r>
          </w:p>
          <w:p>
            <w:pPr>
              <w:spacing w:line="44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量</w:t>
            </w:r>
          </w:p>
          <w:p>
            <w:pPr>
              <w:spacing w:line="44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标</w:t>
            </w:r>
          </w:p>
          <w:p>
            <w:pPr>
              <w:spacing w:line="360" w:lineRule="auto"/>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准</w:t>
            </w:r>
          </w:p>
        </w:tc>
        <w:tc>
          <w:tcPr>
            <w:tcW w:w="4734" w:type="pct"/>
          </w:tcPr>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（1）环境空气</w:t>
            </w:r>
          </w:p>
          <w:p>
            <w:pPr>
              <w:spacing w:line="480" w:lineRule="exact"/>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本项目的环境空气质量功能区为二类功能区，执行</w:t>
            </w:r>
            <w:r>
              <w:rPr>
                <w:color w:val="000000" w:themeColor="text1"/>
                <w:kern w:val="0"/>
                <w:sz w:val="24"/>
                <w14:textFill>
                  <w14:solidFill>
                    <w14:schemeClr w14:val="tx1"/>
                  </w14:solidFill>
                </w14:textFill>
              </w:rPr>
              <w:t>《环境空气质量标准》（GB3095-</w:t>
            </w:r>
            <w:r>
              <w:rPr>
                <w:rFonts w:hint="eastAsia"/>
                <w:color w:val="000000" w:themeColor="text1"/>
                <w:kern w:val="0"/>
                <w:sz w:val="24"/>
                <w14:textFill>
                  <w14:solidFill>
                    <w14:schemeClr w14:val="tx1"/>
                  </w14:solidFill>
                </w14:textFill>
              </w:rPr>
              <w:t>2012</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 xml:space="preserve"> </w:t>
            </w:r>
            <w:r>
              <w:rPr>
                <w:color w:val="000000" w:themeColor="text1"/>
                <w:kern w:val="0"/>
                <w:sz w:val="24"/>
                <w14:textFill>
                  <w14:solidFill>
                    <w14:schemeClr w14:val="tx1"/>
                  </w14:solidFill>
                </w14:textFill>
              </w:rPr>
              <w:t>中二级标准，标准值见下表。</w:t>
            </w:r>
          </w:p>
          <w:p>
            <w:pPr>
              <w:spacing w:line="480" w:lineRule="exact"/>
              <w:ind w:firstLine="482" w:firstLineChars="200"/>
              <w:jc w:val="center"/>
              <w:rPr>
                <w:b/>
                <w:color w:val="000000" w:themeColor="text1"/>
                <w:spacing w:val="6"/>
                <w:sz w:val="24"/>
                <w14:textFill>
                  <w14:solidFill>
                    <w14:schemeClr w14:val="tx1"/>
                  </w14:solidFill>
                </w14:textFill>
              </w:rPr>
            </w:pPr>
            <w:r>
              <w:rPr>
                <w:rFonts w:hint="eastAsia"/>
                <w:b/>
                <w:color w:val="000000" w:themeColor="text1"/>
                <w:sz w:val="24"/>
                <w14:textFill>
                  <w14:solidFill>
                    <w14:schemeClr w14:val="tx1"/>
                  </w14:solidFill>
                </w14:textFill>
              </w:rPr>
              <w:t xml:space="preserve">表4-1  </w:t>
            </w:r>
            <w:r>
              <w:rPr>
                <w:b/>
                <w:color w:val="000000" w:themeColor="text1"/>
                <w:sz w:val="24"/>
                <w14:textFill>
                  <w14:solidFill>
                    <w14:schemeClr w14:val="tx1"/>
                  </w14:solidFill>
                </w14:textFill>
              </w:rPr>
              <w:t>环境空气质量标准   (µg/Nm</w:t>
            </w:r>
            <w:r>
              <w:rPr>
                <w:b/>
                <w:color w:val="000000" w:themeColor="text1"/>
                <w:sz w:val="24"/>
                <w:vertAlign w:val="superscript"/>
                <w14:textFill>
                  <w14:solidFill>
                    <w14:schemeClr w14:val="tx1"/>
                  </w14:solidFill>
                </w14:textFill>
              </w:rPr>
              <w:t>3</w:t>
            </w:r>
            <w:r>
              <w:rPr>
                <w:b/>
                <w:color w:val="000000" w:themeColor="text1"/>
                <w:sz w:val="24"/>
                <w14:textFill>
                  <w14:solidFill>
                    <w14:schemeClr w14:val="tx1"/>
                  </w14:solidFill>
                </w14:textFill>
              </w:rPr>
              <w:t>)</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2229"/>
              <w:gridCol w:w="2227"/>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8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污染物名称</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取值时间</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二级标准浓度限值</w:t>
                  </w:r>
                </w:p>
              </w:tc>
              <w:tc>
                <w:tcPr>
                  <w:tcW w:w="112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浓度单位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SO</w:t>
                  </w:r>
                  <w:r>
                    <w:rPr>
                      <w:color w:val="000000" w:themeColor="text1"/>
                      <w:szCs w:val="21"/>
                      <w:vertAlign w:val="subscript"/>
                      <w14:textFill>
                        <w14:solidFill>
                          <w14:schemeClr w14:val="tx1"/>
                        </w14:solidFill>
                      </w14:textFill>
                    </w:rPr>
                    <w:t>2</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1123"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ug/Nm</w:t>
                  </w:r>
                  <w:r>
                    <w:rPr>
                      <w:color w:val="000000" w:themeColor="text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2</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w:t>
                  </w:r>
                  <w:r>
                    <w:rPr>
                      <w:color w:val="000000" w:themeColor="text1"/>
                      <w:szCs w:val="21"/>
                      <w:vertAlign w:val="subscript"/>
                      <w14:textFill>
                        <w14:solidFill>
                          <w14:schemeClr w14:val="tx1"/>
                        </w14:solidFill>
                      </w14:textFill>
                    </w:rPr>
                    <w:t>10</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123"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mg/Nm</w:t>
                  </w:r>
                  <w:r>
                    <w:rPr>
                      <w:color w:val="000000" w:themeColor="text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3</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日最大</w:t>
                  </w: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123"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ug/Nm</w:t>
                  </w:r>
                  <w:r>
                    <w:rPr>
                      <w:color w:val="000000" w:themeColor="text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bl>
          <w:p>
            <w:pPr>
              <w:tabs>
                <w:tab w:val="left" w:pos="0"/>
              </w:tabs>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地下水</w:t>
            </w:r>
          </w:p>
          <w:p>
            <w:pPr>
              <w:spacing w:line="480" w:lineRule="exact"/>
              <w:ind w:firstLine="480" w:firstLineChars="200"/>
              <w:rPr>
                <w:color w:val="000000" w:themeColor="text1"/>
                <w:sz w:val="24"/>
                <w14:textFill>
                  <w14:solidFill>
                    <w14:schemeClr w14:val="tx1"/>
                  </w14:solidFill>
                </w14:textFill>
              </w:rPr>
            </w:pPr>
            <w:r>
              <w:rPr>
                <w:rFonts w:hint="eastAsia"/>
                <w:bCs/>
                <w:color w:val="000000" w:themeColor="text1"/>
                <w:kern w:val="10"/>
                <w:sz w:val="24"/>
                <w14:textFill>
                  <w14:solidFill>
                    <w14:schemeClr w14:val="tx1"/>
                  </w14:solidFill>
                </w14:textFill>
              </w:rPr>
              <w:t>根据《地下水质量标准》</w:t>
            </w:r>
            <w:r>
              <w:rPr>
                <w:bCs/>
                <w:color w:val="000000" w:themeColor="text1"/>
                <w:kern w:val="10"/>
                <w:sz w:val="24"/>
                <w14:textFill>
                  <w14:solidFill>
                    <w14:schemeClr w14:val="tx1"/>
                  </w14:solidFill>
                </w14:textFill>
              </w:rPr>
              <w:t>(GB/T14848-2017)</w:t>
            </w:r>
            <w:r>
              <w:rPr>
                <w:rFonts w:hint="eastAsia"/>
                <w:bCs/>
                <w:color w:val="000000" w:themeColor="text1"/>
                <w:kern w:val="10"/>
                <w:sz w:val="24"/>
                <w14:textFill>
                  <w14:solidFill>
                    <w14:schemeClr w14:val="tx1"/>
                  </w14:solidFill>
                </w14:textFill>
              </w:rPr>
              <w:t>中地下水的分类要求：“以人体健康基准值为依据，主要适用于集中式生活饮用水水源及工业用水”，本区域地下水环境质量评价执行《地下水质量标准》</w:t>
            </w:r>
            <w:r>
              <w:rPr>
                <w:bCs/>
                <w:color w:val="000000" w:themeColor="text1"/>
                <w:kern w:val="10"/>
                <w:sz w:val="24"/>
                <w14:textFill>
                  <w14:solidFill>
                    <w14:schemeClr w14:val="tx1"/>
                  </w14:solidFill>
                </w14:textFill>
              </w:rPr>
              <w:t>(GB/T14848-2017)</w:t>
            </w:r>
            <w:r>
              <w:rPr>
                <w:rFonts w:hint="eastAsia"/>
                <w:bCs/>
                <w:color w:val="000000" w:themeColor="text1"/>
                <w:kern w:val="10"/>
                <w:sz w:val="24"/>
                <w14:textFill>
                  <w14:solidFill>
                    <w14:schemeClr w14:val="tx1"/>
                  </w14:solidFill>
                </w14:textFill>
              </w:rPr>
              <w:t>中</w:t>
            </w:r>
            <w:r>
              <w:rPr>
                <w:rFonts w:hint="eastAsia" w:ascii="宋体"/>
                <w:bCs/>
                <w:color w:val="000000" w:themeColor="text1"/>
                <w:kern w:val="10"/>
                <w:sz w:val="24"/>
                <w14:textFill>
                  <w14:solidFill>
                    <w14:schemeClr w14:val="tx1"/>
                  </w14:solidFill>
                </w14:textFill>
              </w:rPr>
              <w:t>Ⅲ</w:t>
            </w:r>
            <w:r>
              <w:rPr>
                <w:rFonts w:hint="eastAsia"/>
                <w:bCs/>
                <w:color w:val="000000" w:themeColor="text1"/>
                <w:kern w:val="10"/>
                <w:sz w:val="24"/>
                <w14:textFill>
                  <w14:solidFill>
                    <w14:schemeClr w14:val="tx1"/>
                  </w14:solidFill>
                </w14:textFill>
              </w:rPr>
              <w:t>类标准</w:t>
            </w:r>
            <w:r>
              <w:rPr>
                <w:rFonts w:hint="eastAsia"/>
                <w:color w:val="000000" w:themeColor="text1"/>
                <w:kern w:val="10"/>
                <w:sz w:val="24"/>
                <w14:textFill>
                  <w14:solidFill>
                    <w14:schemeClr w14:val="tx1"/>
                  </w14:solidFill>
                </w14:textFill>
              </w:rPr>
              <w:t>，具体数值见表4-2。</w:t>
            </w:r>
          </w:p>
          <w:p>
            <w:pPr>
              <w:spacing w:line="480" w:lineRule="exact"/>
              <w:ind w:firstLine="482" w:firstLineChars="200"/>
              <w:jc w:val="center"/>
              <w:rPr>
                <w:b/>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表4-2  </w:t>
            </w:r>
            <w:r>
              <w:rPr>
                <w:b/>
                <w:bCs/>
                <w:color w:val="000000" w:themeColor="text1"/>
                <w:sz w:val="24"/>
                <w14:textFill>
                  <w14:solidFill>
                    <w14:schemeClr w14:val="tx1"/>
                  </w14:solidFill>
                </w14:textFill>
              </w:rPr>
              <w:t xml:space="preserve">地下水质量标准    </w:t>
            </w:r>
            <w:r>
              <w:rPr>
                <w:rFonts w:hint="eastAsia"/>
                <w:b/>
                <w:bCs/>
                <w:color w:val="000000" w:themeColor="text1"/>
                <w:sz w:val="24"/>
                <w14:textFill>
                  <w14:solidFill>
                    <w14:schemeClr w14:val="tx1"/>
                  </w14:solidFill>
                </w14:textFill>
              </w:rPr>
              <w:t xml:space="preserve">  </w:t>
            </w:r>
            <w:r>
              <w:rPr>
                <w:b/>
                <w:bCs/>
                <w:color w:val="000000" w:themeColor="text1"/>
                <w:sz w:val="24"/>
                <w14:textFill>
                  <w14:solidFill>
                    <w14:schemeClr w14:val="tx1"/>
                  </w14:solidFill>
                </w14:textFill>
              </w:rPr>
              <w:t>单位：mg/L（</w:t>
            </w:r>
            <w:r>
              <w:rPr>
                <w:rFonts w:hint="eastAsia"/>
                <w:b/>
                <w:bCs/>
                <w:color w:val="000000" w:themeColor="text1"/>
                <w:sz w:val="24"/>
                <w14:textFill>
                  <w14:solidFill>
                    <w14:schemeClr w14:val="tx1"/>
                  </w14:solidFill>
                </w14:textFill>
              </w:rPr>
              <w:t>p</w:t>
            </w:r>
            <w:r>
              <w:rPr>
                <w:b/>
                <w:bCs/>
                <w:color w:val="000000" w:themeColor="text1"/>
                <w:sz w:val="24"/>
                <w14:textFill>
                  <w14:solidFill>
                    <w14:schemeClr w14:val="tx1"/>
                  </w14:solidFill>
                </w14:textFill>
              </w:rPr>
              <w:t>H除外）</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84"/>
              <w:gridCol w:w="904"/>
              <w:gridCol w:w="904"/>
              <w:gridCol w:w="1025"/>
              <w:gridCol w:w="982"/>
              <w:gridCol w:w="1123"/>
              <w:gridCol w:w="1271"/>
              <w:gridCol w:w="15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514" w:type="pct"/>
                  <w:tcBorders>
                    <w:top w:val="single" w:color="auto" w:sz="12" w:space="0"/>
                    <w:left w:val="single" w:color="auto" w:sz="4"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污染物</w:t>
                  </w:r>
                </w:p>
              </w:tc>
              <w:tc>
                <w:tcPr>
                  <w:tcW w:w="525" w:type="pct"/>
                  <w:tcBorders>
                    <w:top w:val="single" w:color="auto" w:sz="12"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pH</w:t>
                  </w:r>
                </w:p>
              </w:tc>
              <w:tc>
                <w:tcPr>
                  <w:tcW w:w="525" w:type="pct"/>
                  <w:tcBorders>
                    <w:top w:val="single" w:color="auto" w:sz="12"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总硬度</w:t>
                  </w:r>
                </w:p>
              </w:tc>
              <w:tc>
                <w:tcPr>
                  <w:tcW w:w="595" w:type="pct"/>
                  <w:tcBorders>
                    <w:top w:val="single" w:color="auto" w:sz="12"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氨氮</w:t>
                  </w:r>
                </w:p>
              </w:tc>
              <w:tc>
                <w:tcPr>
                  <w:tcW w:w="570" w:type="pct"/>
                  <w:tcBorders>
                    <w:top w:val="single" w:color="auto" w:sz="12"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氟化物</w:t>
                  </w:r>
                </w:p>
              </w:tc>
              <w:tc>
                <w:tcPr>
                  <w:tcW w:w="652" w:type="pct"/>
                  <w:tcBorders>
                    <w:top w:val="single" w:color="auto" w:sz="12"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硝酸盐</w:t>
                  </w:r>
                </w:p>
              </w:tc>
              <w:tc>
                <w:tcPr>
                  <w:tcW w:w="738" w:type="pct"/>
                  <w:tcBorders>
                    <w:top w:val="single" w:color="auto" w:sz="12"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亚硝酸盐</w:t>
                  </w:r>
                </w:p>
              </w:tc>
              <w:tc>
                <w:tcPr>
                  <w:tcW w:w="880" w:type="pct"/>
                  <w:tcBorders>
                    <w:top w:val="single" w:color="auto" w:sz="12"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溶解性总固体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514" w:type="pct"/>
                  <w:tcBorders>
                    <w:top w:val="single" w:color="auto" w:sz="6" w:space="0"/>
                    <w:left w:val="single" w:color="auto" w:sz="4"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标准值</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6.5~8.5</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450</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0.5</w:t>
                  </w:r>
                </w:p>
              </w:tc>
              <w:tc>
                <w:tcPr>
                  <w:tcW w:w="570"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1.0</w:t>
                  </w:r>
                </w:p>
              </w:tc>
              <w:tc>
                <w:tcPr>
                  <w:tcW w:w="652"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20.0</w:t>
                  </w:r>
                </w:p>
              </w:tc>
              <w:tc>
                <w:tcPr>
                  <w:tcW w:w="738"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1.00</w:t>
                  </w:r>
                </w:p>
              </w:tc>
              <w:tc>
                <w:tcPr>
                  <w:tcW w:w="880"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污染物</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铁</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Hg</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As</w:t>
                  </w:r>
                </w:p>
              </w:tc>
              <w:tc>
                <w:tcPr>
                  <w:tcW w:w="570"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氰化物</w:t>
                  </w:r>
                </w:p>
              </w:tc>
              <w:tc>
                <w:tcPr>
                  <w:tcW w:w="652"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六价铬</w:t>
                  </w:r>
                </w:p>
              </w:tc>
              <w:tc>
                <w:tcPr>
                  <w:tcW w:w="738" w:type="pct"/>
                  <w:tcBorders>
                    <w:top w:val="single" w:color="auto" w:sz="6" w:space="0"/>
                    <w:left w:val="single" w:color="auto" w:sz="6" w:space="0"/>
                    <w:bottom w:val="single" w:color="auto" w:sz="6"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铅</w:t>
                  </w:r>
                </w:p>
              </w:tc>
              <w:tc>
                <w:tcPr>
                  <w:tcW w:w="880"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耗氧量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标准值</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0.3</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0.001</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0.01</w:t>
                  </w:r>
                </w:p>
              </w:tc>
              <w:tc>
                <w:tcPr>
                  <w:tcW w:w="570"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0.05</w:t>
                  </w:r>
                </w:p>
              </w:tc>
              <w:tc>
                <w:tcPr>
                  <w:tcW w:w="652"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0.05</w:t>
                  </w:r>
                </w:p>
              </w:tc>
              <w:tc>
                <w:tcPr>
                  <w:tcW w:w="738"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0.01</w:t>
                  </w:r>
                </w:p>
              </w:tc>
              <w:tc>
                <w:tcPr>
                  <w:tcW w:w="880"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污染物</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镉</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锰</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硫酸盐</w:t>
                  </w:r>
                </w:p>
              </w:tc>
              <w:tc>
                <w:tcPr>
                  <w:tcW w:w="570"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氯化物</w:t>
                  </w:r>
                </w:p>
              </w:tc>
              <w:tc>
                <w:tcPr>
                  <w:tcW w:w="652"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挥发性酚</w:t>
                  </w:r>
                </w:p>
              </w:tc>
              <w:tc>
                <w:tcPr>
                  <w:tcW w:w="738"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菌落总数</w:t>
                  </w:r>
                  <w:r>
                    <w:rPr>
                      <w:color w:val="000000" w:themeColor="text1"/>
                      <w:szCs w:val="21"/>
                      <w14:textFill>
                        <w14:solidFill>
                          <w14:schemeClr w14:val="tx1"/>
                        </w14:solidFill>
                      </w14:textFill>
                    </w:rPr>
                    <w:t>(CFU/mL)</w:t>
                  </w:r>
                </w:p>
              </w:tc>
              <w:tc>
                <w:tcPr>
                  <w:tcW w:w="880"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总大肠菌群</w:t>
                  </w:r>
                  <w:r>
                    <w:rPr>
                      <w:color w:val="000000" w:themeColor="text1"/>
                      <w:szCs w:val="21"/>
                      <w14:textFill>
                        <w14:solidFill>
                          <w14:schemeClr w14:val="tx1"/>
                        </w14:solidFill>
                      </w14:textFill>
                    </w:rPr>
                    <w:t>(CFU /100mL)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12"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标准值</w:t>
                  </w:r>
                </w:p>
              </w:tc>
              <w:tc>
                <w:tcPr>
                  <w:tcW w:w="525" w:type="pct"/>
                  <w:tcBorders>
                    <w:top w:val="single" w:color="auto" w:sz="6" w:space="0"/>
                    <w:left w:val="single" w:color="auto" w:sz="6" w:space="0"/>
                    <w:bottom w:val="single" w:color="auto" w:sz="12"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0.005</w:t>
                  </w:r>
                </w:p>
              </w:tc>
              <w:tc>
                <w:tcPr>
                  <w:tcW w:w="525" w:type="pct"/>
                  <w:tcBorders>
                    <w:top w:val="single" w:color="auto" w:sz="6" w:space="0"/>
                    <w:left w:val="single" w:color="auto" w:sz="6" w:space="0"/>
                    <w:bottom w:val="single" w:color="auto" w:sz="12"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0.1</w:t>
                  </w:r>
                </w:p>
              </w:tc>
              <w:tc>
                <w:tcPr>
                  <w:tcW w:w="595" w:type="pct"/>
                  <w:tcBorders>
                    <w:top w:val="single" w:color="auto" w:sz="6" w:space="0"/>
                    <w:left w:val="single" w:color="auto" w:sz="6" w:space="0"/>
                    <w:bottom w:val="single" w:color="auto" w:sz="12"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250</w:t>
                  </w:r>
                </w:p>
              </w:tc>
              <w:tc>
                <w:tcPr>
                  <w:tcW w:w="570" w:type="pct"/>
                  <w:tcBorders>
                    <w:top w:val="single" w:color="auto" w:sz="6" w:space="0"/>
                    <w:left w:val="single" w:color="auto" w:sz="6" w:space="0"/>
                    <w:bottom w:val="single" w:color="auto" w:sz="12" w:space="0"/>
                    <w:right w:val="single" w:color="auto" w:sz="6"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250</w:t>
                  </w:r>
                </w:p>
              </w:tc>
              <w:tc>
                <w:tcPr>
                  <w:tcW w:w="652" w:type="pct"/>
                  <w:tcBorders>
                    <w:top w:val="single" w:color="auto" w:sz="6" w:space="0"/>
                    <w:left w:val="single" w:color="auto" w:sz="6"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0.002</w:t>
                  </w:r>
                </w:p>
              </w:tc>
              <w:tc>
                <w:tcPr>
                  <w:tcW w:w="738" w:type="pct"/>
                  <w:tcBorders>
                    <w:top w:val="single" w:color="auto" w:sz="6" w:space="0"/>
                    <w:left w:val="single" w:color="auto" w:sz="6"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100</w:t>
                  </w:r>
                </w:p>
              </w:tc>
              <w:tc>
                <w:tcPr>
                  <w:tcW w:w="880" w:type="pct"/>
                  <w:tcBorders>
                    <w:top w:val="single" w:color="auto" w:sz="6" w:space="0"/>
                    <w:left w:val="single" w:color="auto" w:sz="6"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3.0</w:t>
                  </w:r>
                </w:p>
              </w:tc>
            </w:tr>
          </w:tbl>
          <w:p>
            <w:pPr>
              <w:keepNext/>
              <w:keepLines/>
              <w:spacing w:line="480" w:lineRule="exact"/>
              <w:ind w:firstLine="480" w:firstLineChars="200"/>
              <w:outlineLvl w:val="2"/>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地表水</w:t>
            </w:r>
          </w:p>
          <w:p>
            <w:pPr>
              <w:spacing w:line="480" w:lineRule="exact"/>
              <w:ind w:firstLine="480" w:firstLineChars="200"/>
              <w:rPr>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根据《山西省地表水水环境功能区划》（</w:t>
            </w:r>
            <w:r>
              <w:rPr>
                <w:rFonts w:hAnsi="宋体"/>
                <w:color w:val="000000" w:themeColor="text1"/>
                <w:sz w:val="24"/>
                <w14:textFill>
                  <w14:solidFill>
                    <w14:schemeClr w14:val="tx1"/>
                  </w14:solidFill>
                </w14:textFill>
              </w:rPr>
              <w:t>DB14/67-201</w:t>
            </w:r>
            <w:r>
              <w:rPr>
                <w:rFonts w:hint="eastAsia" w:hAnsi="宋体"/>
                <w:color w:val="000000" w:themeColor="text1"/>
                <w:sz w:val="24"/>
                <w14:textFill>
                  <w14:solidFill>
                    <w14:schemeClr w14:val="tx1"/>
                  </w14:solidFill>
                </w14:textFill>
              </w:rPr>
              <w:t>9），本项目区域地表水为项目北侧的石湖河，属于恢河支流，</w:t>
            </w:r>
            <w:r>
              <w:rPr>
                <w:rFonts w:hint="eastAsia" w:hAnsi="宋体"/>
                <w:color w:val="000000" w:themeColor="text1"/>
                <w:sz w:val="24"/>
                <w:lang w:eastAsia="zh-CN"/>
                <w14:textFill>
                  <w14:solidFill>
                    <w14:schemeClr w14:val="tx1"/>
                  </w14:solidFill>
                </w14:textFill>
              </w:rPr>
              <w:t>“源头</w:t>
            </w:r>
            <w:r>
              <w:rPr>
                <w:rFonts w:hint="eastAsia" w:hAnsi="宋体"/>
                <w:color w:val="000000" w:themeColor="text1"/>
                <w:sz w:val="24"/>
                <w:lang w:val="en-US" w:eastAsia="zh-CN"/>
                <w14:textFill>
                  <w14:solidFill>
                    <w14:schemeClr w14:val="tx1"/>
                  </w14:solidFill>
                </w14:textFill>
              </w:rPr>
              <w:t>-梵王寺</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，水环境功能为重要源头水保护，</w:t>
            </w:r>
            <w:r>
              <w:rPr>
                <w:rFonts w:hint="eastAsia" w:hAnsi="宋体"/>
                <w:color w:val="000000" w:themeColor="text1"/>
                <w:sz w:val="24"/>
                <w14:textFill>
                  <w14:solidFill>
                    <w14:schemeClr w14:val="tx1"/>
                  </w14:solidFill>
                </w14:textFill>
              </w:rPr>
              <w:t>水质要求为Ⅱ类</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14:textFill>
                  <w14:solidFill>
                    <w14:schemeClr w14:val="tx1"/>
                  </w14:solidFill>
                </w14:textFill>
              </w:rPr>
              <w:t>因此地表水环境执行《地表水环境质量标准》（</w:t>
            </w:r>
            <w:r>
              <w:rPr>
                <w:rFonts w:hAnsi="宋体"/>
                <w:color w:val="000000" w:themeColor="text1"/>
                <w:sz w:val="24"/>
                <w14:textFill>
                  <w14:solidFill>
                    <w14:schemeClr w14:val="tx1"/>
                  </w14:solidFill>
                </w14:textFill>
              </w:rPr>
              <w:t>GB3838-2002</w:t>
            </w:r>
            <w:r>
              <w:rPr>
                <w:rFonts w:hint="eastAsia" w:hAnsi="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Ⅱ</w:t>
            </w:r>
            <w:r>
              <w:rPr>
                <w:rFonts w:hint="eastAsia" w:hAnsi="宋体"/>
                <w:color w:val="000000" w:themeColor="text1"/>
                <w:sz w:val="24"/>
                <w14:textFill>
                  <w14:solidFill>
                    <w14:schemeClr w14:val="tx1"/>
                  </w14:solidFill>
                </w14:textFill>
              </w:rPr>
              <w:t>类水质标准</w:t>
            </w:r>
            <w:r>
              <w:rPr>
                <w:rFonts w:hint="eastAsia"/>
                <w:color w:val="000000" w:themeColor="text1"/>
                <w:sz w:val="24"/>
                <w14:textFill>
                  <w14:solidFill>
                    <w14:schemeClr w14:val="tx1"/>
                  </w14:solidFill>
                </w14:textFill>
              </w:rPr>
              <w:t>，标准值见下表。</w:t>
            </w:r>
          </w:p>
          <w:p>
            <w:pPr>
              <w:spacing w:line="480" w:lineRule="exact"/>
              <w:ind w:firstLine="482" w:firstLineChars="2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表4-3 地表水环境质量标准  单位：mg/L（除pH外）</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1167"/>
              <w:gridCol w:w="875"/>
              <w:gridCol w:w="1022"/>
              <w:gridCol w:w="1022"/>
              <w:gridCol w:w="1022"/>
              <w:gridCol w:w="102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w:t>
                  </w:r>
                </w:p>
              </w:tc>
              <w:tc>
                <w:tcPr>
                  <w:tcW w:w="679"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pH</w:t>
                  </w:r>
                </w:p>
              </w:tc>
              <w:tc>
                <w:tcPr>
                  <w:tcW w:w="509"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BOD</w:t>
                  </w:r>
                  <w:r>
                    <w:rPr>
                      <w:color w:val="000000" w:themeColor="text1"/>
                      <w:szCs w:val="21"/>
                      <w:vertAlign w:val="subscript"/>
                      <w14:textFill>
                        <w14:solidFill>
                          <w14:schemeClr w14:val="tx1"/>
                        </w14:solidFill>
                      </w14:textFill>
                    </w:rPr>
                    <w:t>5</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石油类</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硫化物</w:t>
                  </w:r>
                </w:p>
              </w:tc>
              <w:tc>
                <w:tcPr>
                  <w:tcW w:w="75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挥发酚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标准值</w:t>
                  </w:r>
                </w:p>
              </w:tc>
              <w:tc>
                <w:tcPr>
                  <w:tcW w:w="679"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6-9</w:t>
                  </w:r>
                </w:p>
              </w:tc>
              <w:tc>
                <w:tcPr>
                  <w:tcW w:w="509"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15</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3</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0.15</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0.05</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0.05</w:t>
                  </w:r>
                </w:p>
              </w:tc>
              <w:tc>
                <w:tcPr>
                  <w:tcW w:w="75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0.002</w:t>
                  </w:r>
                </w:p>
              </w:tc>
            </w:tr>
          </w:tbl>
          <w:p>
            <w:pPr>
              <w:keepNext/>
              <w:keepLines/>
              <w:spacing w:line="480" w:lineRule="exact"/>
              <w:ind w:firstLine="480" w:firstLineChars="200"/>
              <w:outlineLvl w:val="2"/>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）声环境</w:t>
            </w:r>
          </w:p>
          <w:p>
            <w:pPr>
              <w:snapToGrid w:val="0"/>
              <w:spacing w:line="480" w:lineRule="exact"/>
              <w:ind w:firstLine="50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本项目位于农村地区，执行《声环境质量标准》（</w:t>
            </w:r>
            <w:r>
              <w:rPr>
                <w:color w:val="000000" w:themeColor="text1"/>
                <w:sz w:val="24"/>
                <w14:textFill>
                  <w14:solidFill>
                    <w14:schemeClr w14:val="tx1"/>
                  </w14:solidFill>
                </w14:textFill>
              </w:rPr>
              <w:t>GB3096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2008</w:t>
            </w:r>
            <w:r>
              <w:rPr>
                <w:rFonts w:hint="eastAsia"/>
                <w:color w:val="000000" w:themeColor="text1"/>
                <w:sz w:val="24"/>
                <w14:textFill>
                  <w14:solidFill>
                    <w14:schemeClr w14:val="tx1"/>
                  </w14:solidFill>
                </w14:textFill>
              </w:rPr>
              <w:t>）中</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类标准，昼间</w:t>
            </w:r>
            <w:r>
              <w:rPr>
                <w:color w:val="000000" w:themeColor="text1"/>
                <w:sz w:val="24"/>
                <w14:textFill>
                  <w14:solidFill>
                    <w14:schemeClr w14:val="tx1"/>
                  </w14:solidFill>
                </w14:textFill>
              </w:rPr>
              <w:t>55dB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），夜间</w:t>
            </w:r>
            <w:r>
              <w:rPr>
                <w:color w:val="000000" w:themeColor="text1"/>
                <w:sz w:val="24"/>
                <w14:textFill>
                  <w14:solidFill>
                    <w14:schemeClr w14:val="tx1"/>
                  </w14:solidFill>
                </w14:textFill>
              </w:rPr>
              <w:t>45dB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）；厂界声环境质量执行《声环境质量标准》</w:t>
            </w:r>
            <w:r>
              <w:rPr>
                <w:color w:val="000000" w:themeColor="text1"/>
                <w:sz w:val="24"/>
                <w14:textFill>
                  <w14:solidFill>
                    <w14:schemeClr w14:val="tx1"/>
                  </w14:solidFill>
                </w14:textFill>
              </w:rPr>
              <w:t>(GB3096</w:t>
            </w:r>
            <w:r>
              <w:rPr>
                <w:color w:val="000000" w:themeColor="text1"/>
                <w:sz w:val="24"/>
                <w14:textFill>
                  <w14:solidFill>
                    <w14:schemeClr w14:val="tx1"/>
                  </w14:solidFill>
                </w14:textFill>
              </w:rPr>
              <w:sym w:font="Symbol" w:char="002D"/>
            </w:r>
            <w:r>
              <w:rPr>
                <w:color w:val="000000" w:themeColor="text1"/>
                <w:sz w:val="24"/>
                <w14:textFill>
                  <w14:solidFill>
                    <w14:schemeClr w14:val="tx1"/>
                  </w14:solidFill>
                </w14:textFill>
              </w:rPr>
              <w:t>2008)</w:t>
            </w:r>
            <w:r>
              <w:rPr>
                <w:rFonts w:hint="eastAsia"/>
                <w:color w:val="000000" w:themeColor="text1"/>
                <w:sz w:val="24"/>
                <w14:textFill>
                  <w14:solidFill>
                    <w14:schemeClr w14:val="tx1"/>
                  </w14:solidFill>
                </w14:textFill>
              </w:rPr>
              <w:t>中的</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类：昼间</w:t>
            </w:r>
            <w:r>
              <w:rPr>
                <w:color w:val="000000" w:themeColor="text1"/>
                <w:sz w:val="24"/>
                <w14:textFill>
                  <w14:solidFill>
                    <w14:schemeClr w14:val="tx1"/>
                  </w14:solidFill>
                </w14:textFill>
              </w:rPr>
              <w:t>60dB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），夜间</w:t>
            </w:r>
            <w:r>
              <w:rPr>
                <w:color w:val="000000" w:themeColor="text1"/>
                <w:sz w:val="24"/>
                <w14:textFill>
                  <w14:solidFill>
                    <w14:schemeClr w14:val="tx1"/>
                  </w14:solidFill>
                </w14:textFill>
              </w:rPr>
              <w:t>50dB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p>
          <w:p>
            <w:pPr>
              <w:snapToGrid w:val="0"/>
              <w:spacing w:line="480" w:lineRule="exact"/>
              <w:ind w:firstLine="504"/>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266" w:type="pct"/>
            <w:vAlign w:val="center"/>
          </w:tcPr>
          <w:p>
            <w:pPr>
              <w:spacing w:line="48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污</w:t>
            </w:r>
          </w:p>
          <w:p>
            <w:pPr>
              <w:spacing w:line="48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染</w:t>
            </w:r>
          </w:p>
          <w:p>
            <w:pPr>
              <w:spacing w:line="48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物</w:t>
            </w:r>
          </w:p>
          <w:p>
            <w:pPr>
              <w:spacing w:line="48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排</w:t>
            </w:r>
          </w:p>
          <w:p>
            <w:pPr>
              <w:spacing w:line="48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放</w:t>
            </w:r>
          </w:p>
          <w:p>
            <w:pPr>
              <w:spacing w:line="48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标</w:t>
            </w:r>
          </w:p>
          <w:p>
            <w:pPr>
              <w:spacing w:line="48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准</w:t>
            </w:r>
          </w:p>
        </w:tc>
        <w:tc>
          <w:tcPr>
            <w:tcW w:w="4734" w:type="pct"/>
          </w:tcPr>
          <w:p>
            <w:pPr>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（1）大气污染物排放标准</w:t>
            </w:r>
          </w:p>
          <w:p>
            <w:pPr>
              <w:spacing w:line="440" w:lineRule="exact"/>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本项目施工期排放的粉尘排放执行《大气污染物综合排放标准》（</w:t>
            </w:r>
            <w:r>
              <w:rPr>
                <w:color w:val="000000" w:themeColor="text1"/>
                <w:sz w:val="24"/>
                <w:szCs w:val="22"/>
                <w14:textFill>
                  <w14:solidFill>
                    <w14:schemeClr w14:val="tx1"/>
                  </w14:solidFill>
                </w14:textFill>
              </w:rPr>
              <w:t>GB16297-1996</w:t>
            </w:r>
            <w:r>
              <w:rPr>
                <w:rFonts w:hint="eastAsia"/>
                <w:color w:val="000000" w:themeColor="text1"/>
                <w:sz w:val="24"/>
                <w:szCs w:val="22"/>
                <w14:textFill>
                  <w14:solidFill>
                    <w14:schemeClr w14:val="tx1"/>
                  </w14:solidFill>
                </w14:textFill>
              </w:rPr>
              <w:t>）表</w:t>
            </w:r>
            <w:r>
              <w:rPr>
                <w:color w:val="000000" w:themeColor="text1"/>
                <w:sz w:val="24"/>
                <w:szCs w:val="22"/>
                <w14:textFill>
                  <w14:solidFill>
                    <w14:schemeClr w14:val="tx1"/>
                  </w14:solidFill>
                </w14:textFill>
              </w:rPr>
              <w:t>4</w:t>
            </w:r>
            <w:r>
              <w:rPr>
                <w:rFonts w:hint="eastAsia"/>
                <w:color w:val="000000" w:themeColor="text1"/>
                <w:sz w:val="24"/>
                <w:szCs w:val="22"/>
                <w14:textFill>
                  <w14:solidFill>
                    <w14:schemeClr w14:val="tx1"/>
                  </w14:solidFill>
                </w14:textFill>
              </w:rPr>
              <w:t>和表</w:t>
            </w:r>
            <w:r>
              <w:rPr>
                <w:color w:val="000000" w:themeColor="text1"/>
                <w:sz w:val="24"/>
                <w:szCs w:val="22"/>
                <w14:textFill>
                  <w14:solidFill>
                    <w14:schemeClr w14:val="tx1"/>
                  </w14:solidFill>
                </w14:textFill>
              </w:rPr>
              <w:t>5</w:t>
            </w:r>
            <w:r>
              <w:rPr>
                <w:rFonts w:hint="eastAsia"/>
                <w:color w:val="000000" w:themeColor="text1"/>
                <w:sz w:val="24"/>
                <w:szCs w:val="22"/>
                <w14:textFill>
                  <w14:solidFill>
                    <w14:schemeClr w14:val="tx1"/>
                  </w14:solidFill>
                </w14:textFill>
              </w:rPr>
              <w:t>规定的限值，见下表。</w:t>
            </w:r>
          </w:p>
          <w:p>
            <w:pPr>
              <w:spacing w:line="480" w:lineRule="exact"/>
              <w:ind w:firstLine="482" w:firstLineChars="2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表4-4 《大气污染物综合排放标准》（GB16297-1996）</w:t>
            </w:r>
          </w:p>
          <w:tbl>
            <w:tblPr>
              <w:tblStyle w:val="32"/>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215"/>
              <w:gridCol w:w="1177"/>
              <w:gridCol w:w="1177"/>
              <w:gridCol w:w="987"/>
              <w:gridCol w:w="2692"/>
              <w:gridCol w:w="1346"/>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PrEx>
              <w:trPr>
                <w:cantSplit/>
                <w:trHeight w:val="340" w:hRule="atLeast"/>
                <w:jc w:val="center"/>
              </w:trPr>
              <w:tc>
                <w:tcPr>
                  <w:tcW w:w="707"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污染物名称</w:t>
                  </w:r>
                </w:p>
              </w:tc>
              <w:tc>
                <w:tcPr>
                  <w:tcW w:w="68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浓度</w:t>
                  </w:r>
                </w:p>
              </w:tc>
              <w:tc>
                <w:tcPr>
                  <w:tcW w:w="68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排气筒高度</w:t>
                  </w:r>
                </w:p>
              </w:tc>
              <w:tc>
                <w:tcPr>
                  <w:tcW w:w="574"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排放速率</w:t>
                  </w:r>
                </w:p>
              </w:tc>
              <w:tc>
                <w:tcPr>
                  <w:tcW w:w="2350" w:type="pct"/>
                  <w:gridSpan w:val="2"/>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无组织排放监控浓度限值</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707"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685"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 mg/Nm</w:t>
                  </w:r>
                  <w:r>
                    <w:rPr>
                      <w:color w:val="000000" w:themeColor="text1"/>
                      <w:szCs w:val="21"/>
                      <w:vertAlign w:val="superscript"/>
                      <w14:textFill>
                        <w14:solidFill>
                          <w14:schemeClr w14:val="tx1"/>
                        </w14:solidFill>
                      </w14:textFill>
                    </w:rPr>
                    <w:t>3</w:t>
                  </w:r>
                </w:p>
              </w:tc>
              <w:tc>
                <w:tcPr>
                  <w:tcW w:w="685"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15m</w:t>
                  </w:r>
                </w:p>
              </w:tc>
              <w:tc>
                <w:tcPr>
                  <w:tcW w:w="574"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3.5kg/h</w:t>
                  </w:r>
                </w:p>
              </w:tc>
              <w:tc>
                <w:tcPr>
                  <w:tcW w:w="156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监控点</w:t>
                  </w:r>
                </w:p>
              </w:tc>
              <w:tc>
                <w:tcPr>
                  <w:tcW w:w="784"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浓度</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707"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685"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685"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574" w:type="pct"/>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156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周界外浓度最高点</w:t>
                  </w:r>
                </w:p>
              </w:tc>
              <w:tc>
                <w:tcPr>
                  <w:tcW w:w="78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 mg/Nm</w:t>
                  </w:r>
                  <w:r>
                    <w:rPr>
                      <w:color w:val="000000" w:themeColor="text1"/>
                      <w:szCs w:val="21"/>
                      <w:vertAlign w:val="superscript"/>
                      <w14:textFill>
                        <w14:solidFill>
                          <w14:schemeClr w14:val="tx1"/>
                        </w14:solidFill>
                      </w14:textFill>
                    </w:rPr>
                    <w:t>3</w:t>
                  </w:r>
                </w:p>
              </w:tc>
            </w:tr>
          </w:tbl>
          <w:p>
            <w:pPr>
              <w:spacing w:line="420" w:lineRule="exact"/>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原料破碎过程中产生的大气污染物执行《煤炭工业污染物排放标准》（</w:t>
            </w:r>
            <w:r>
              <w:rPr>
                <w:color w:val="000000" w:themeColor="text1"/>
                <w:sz w:val="24"/>
                <w:szCs w:val="22"/>
                <w14:textFill>
                  <w14:solidFill>
                    <w14:schemeClr w14:val="tx1"/>
                  </w14:solidFill>
                </w14:textFill>
              </w:rPr>
              <w:t>GB20426</w:t>
            </w:r>
            <w:r>
              <w:rPr>
                <w:rFonts w:hint="eastAsia"/>
                <w:color w:val="000000" w:themeColor="text1"/>
                <w:sz w:val="24"/>
                <w:szCs w:val="22"/>
                <w14:textFill>
                  <w14:solidFill>
                    <w14:schemeClr w14:val="tx1"/>
                  </w14:solidFill>
                </w14:textFill>
              </w:rPr>
              <w:t>－</w:t>
            </w:r>
            <w:r>
              <w:rPr>
                <w:color w:val="000000" w:themeColor="text1"/>
                <w:sz w:val="24"/>
                <w:szCs w:val="22"/>
                <w14:textFill>
                  <w14:solidFill>
                    <w14:schemeClr w14:val="tx1"/>
                  </w14:solidFill>
                </w14:textFill>
              </w:rPr>
              <w:t>2006</w:t>
            </w:r>
            <w:r>
              <w:rPr>
                <w:rFonts w:hint="eastAsia"/>
                <w:color w:val="000000" w:themeColor="text1"/>
                <w:sz w:val="24"/>
                <w:szCs w:val="22"/>
                <w14:textFill>
                  <w14:solidFill>
                    <w14:schemeClr w14:val="tx1"/>
                  </w14:solidFill>
                </w14:textFill>
              </w:rPr>
              <w:t>）表</w:t>
            </w:r>
            <w:r>
              <w:rPr>
                <w:color w:val="000000" w:themeColor="text1"/>
                <w:sz w:val="24"/>
                <w:szCs w:val="22"/>
                <w14:textFill>
                  <w14:solidFill>
                    <w14:schemeClr w14:val="tx1"/>
                  </w14:solidFill>
                </w14:textFill>
              </w:rPr>
              <w:t>4</w:t>
            </w:r>
            <w:r>
              <w:rPr>
                <w:rFonts w:hint="eastAsia"/>
                <w:color w:val="000000" w:themeColor="text1"/>
                <w:sz w:val="24"/>
                <w:szCs w:val="22"/>
                <w14:textFill>
                  <w14:solidFill>
                    <w14:schemeClr w14:val="tx1"/>
                  </w14:solidFill>
                </w14:textFill>
              </w:rPr>
              <w:t>和表</w:t>
            </w:r>
            <w:r>
              <w:rPr>
                <w:color w:val="000000" w:themeColor="text1"/>
                <w:sz w:val="24"/>
                <w:szCs w:val="22"/>
                <w14:textFill>
                  <w14:solidFill>
                    <w14:schemeClr w14:val="tx1"/>
                  </w14:solidFill>
                </w14:textFill>
              </w:rPr>
              <w:t>5</w:t>
            </w:r>
            <w:r>
              <w:rPr>
                <w:rFonts w:hint="eastAsia"/>
                <w:color w:val="000000" w:themeColor="text1"/>
                <w:sz w:val="24"/>
                <w:szCs w:val="22"/>
                <w14:textFill>
                  <w14:solidFill>
                    <w14:schemeClr w14:val="tx1"/>
                  </w14:solidFill>
                </w14:textFill>
              </w:rPr>
              <w:t>规定的限值，见下表。</w:t>
            </w:r>
          </w:p>
          <w:p>
            <w:pPr>
              <w:spacing w:line="480" w:lineRule="exact"/>
              <w:ind w:firstLine="482" w:firstLineChars="2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表4-5  大气污染物排放标准</w:t>
            </w:r>
          </w:p>
          <w:tbl>
            <w:tblPr>
              <w:tblStyle w:val="32"/>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418"/>
              <w:gridCol w:w="1418"/>
              <w:gridCol w:w="2374"/>
              <w:gridCol w:w="3384"/>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PrEx>
              <w:trPr>
                <w:cantSplit/>
                <w:trHeight w:val="369" w:hRule="atLeast"/>
                <w:jc w:val="center"/>
              </w:trPr>
              <w:tc>
                <w:tcPr>
                  <w:tcW w:w="82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污染物名称</w:t>
                  </w:r>
                </w:p>
              </w:tc>
              <w:tc>
                <w:tcPr>
                  <w:tcW w:w="82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排放方式</w:t>
                  </w:r>
                </w:p>
              </w:tc>
              <w:tc>
                <w:tcPr>
                  <w:tcW w:w="138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排放限值</w:t>
                  </w:r>
                </w:p>
              </w:tc>
              <w:tc>
                <w:tcPr>
                  <w:tcW w:w="196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生产设备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825"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82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有组织排放</w:t>
                  </w:r>
                </w:p>
              </w:tc>
              <w:tc>
                <w:tcPr>
                  <w:tcW w:w="138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80mg/Nm</w:t>
                  </w:r>
                  <w:r>
                    <w:rPr>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或设备去除效率〉</w:t>
                  </w:r>
                  <w:r>
                    <w:rPr>
                      <w:color w:val="000000" w:themeColor="text1"/>
                      <w:szCs w:val="21"/>
                      <w14:textFill>
                        <w14:solidFill>
                          <w14:schemeClr w14:val="tx1"/>
                        </w14:solidFill>
                      </w14:textFill>
                    </w:rPr>
                    <w:t>98%</w:t>
                  </w:r>
                </w:p>
              </w:tc>
              <w:tc>
                <w:tcPr>
                  <w:tcW w:w="196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原煤筛分、破碎、转载点等除尘设备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1502"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82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无组织排放</w:t>
                  </w:r>
                </w:p>
              </w:tc>
              <w:tc>
                <w:tcPr>
                  <w:tcW w:w="138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 mg/Nm</w:t>
                  </w:r>
                  <w:r>
                    <w:rPr>
                      <w:color w:val="000000" w:themeColor="text1"/>
                      <w:szCs w:val="21"/>
                      <w:vertAlign w:val="superscript"/>
                      <w14:textFill>
                        <w14:solidFill>
                          <w14:schemeClr w14:val="tx1"/>
                        </w14:solidFill>
                      </w14:textFill>
                    </w:rPr>
                    <w:t>3</w:t>
                  </w:r>
                </w:p>
              </w:tc>
              <w:tc>
                <w:tcPr>
                  <w:tcW w:w="196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煤炭贮存场所，矸石堆置场</w:t>
                  </w:r>
                </w:p>
              </w:tc>
            </w:tr>
          </w:tbl>
          <w:p>
            <w:pPr>
              <w:spacing w:line="480" w:lineRule="exact"/>
              <w:ind w:firstLine="542" w:firstLineChars="226"/>
              <w:rPr>
                <w:bCs/>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）厂界噪声</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施工期间执行《建筑施工场界环境噪声排放标准》（GB12523-2011），见</w:t>
            </w:r>
            <w:r>
              <w:rPr>
                <w:rFonts w:hint="eastAsia"/>
                <w:color w:val="000000" w:themeColor="text1"/>
                <w:sz w:val="24"/>
                <w14:textFill>
                  <w14:solidFill>
                    <w14:schemeClr w14:val="tx1"/>
                  </w14:solidFill>
                </w14:textFill>
              </w:rPr>
              <w:t>下</w:t>
            </w:r>
            <w:r>
              <w:rPr>
                <w:color w:val="000000" w:themeColor="text1"/>
                <w:sz w:val="24"/>
                <w14:textFill>
                  <w14:solidFill>
                    <w14:schemeClr w14:val="tx1"/>
                  </w14:solidFill>
                </w14:textFill>
              </w:rPr>
              <w:t>表。</w:t>
            </w:r>
          </w:p>
          <w:p>
            <w:pPr>
              <w:spacing w:line="480" w:lineRule="exact"/>
              <w:ind w:firstLine="482" w:firstLineChars="2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表4-6建筑施工场界环境噪声排放标准   等效声级LAeq：dB（A）</w:t>
            </w:r>
          </w:p>
          <w:tbl>
            <w:tblPr>
              <w:tblStyle w:val="32"/>
              <w:tblW w:w="4999" w:type="pct"/>
              <w:jc w:val="center"/>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4296"/>
              <w:gridCol w:w="4296"/>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00" w:type="pct"/>
                  <w:tcBorders>
                    <w:tl2br w:val="nil"/>
                    <w:tr2bl w:val="nil"/>
                  </w:tcBorders>
                  <w:vAlign w:val="center"/>
                </w:tcPr>
                <w:p>
                  <w:pPr>
                    <w:pStyle w:val="17"/>
                    <w:snapToGrid w:val="0"/>
                    <w:spacing w:line="240" w:lineRule="auto"/>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昼间</w:t>
                  </w:r>
                </w:p>
              </w:tc>
              <w:tc>
                <w:tcPr>
                  <w:tcW w:w="2500" w:type="pct"/>
                  <w:tcBorders>
                    <w:tl2br w:val="nil"/>
                    <w:tr2bl w:val="nil"/>
                  </w:tcBorders>
                  <w:vAlign w:val="center"/>
                </w:tcPr>
                <w:p>
                  <w:pPr>
                    <w:pStyle w:val="17"/>
                    <w:snapToGrid w:val="0"/>
                    <w:spacing w:line="240" w:lineRule="auto"/>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夜间</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00" w:type="pct"/>
                  <w:tcBorders>
                    <w:tl2br w:val="nil"/>
                    <w:tr2bl w:val="nil"/>
                  </w:tcBorders>
                  <w:vAlign w:val="center"/>
                </w:tcPr>
                <w:p>
                  <w:pPr>
                    <w:pStyle w:val="17"/>
                    <w:snapToGrid w:val="0"/>
                    <w:spacing w:line="240" w:lineRule="auto"/>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70</w:t>
                  </w:r>
                </w:p>
              </w:tc>
              <w:tc>
                <w:tcPr>
                  <w:tcW w:w="2500" w:type="pct"/>
                  <w:tcBorders>
                    <w:tl2br w:val="nil"/>
                    <w:tr2bl w:val="nil"/>
                  </w:tcBorders>
                  <w:vAlign w:val="center"/>
                </w:tcPr>
                <w:p>
                  <w:pPr>
                    <w:pStyle w:val="17"/>
                    <w:snapToGrid w:val="0"/>
                    <w:spacing w:line="240" w:lineRule="auto"/>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55</w:t>
                  </w:r>
                </w:p>
              </w:tc>
            </w:tr>
          </w:tbl>
          <w:p>
            <w:pPr>
              <w:spacing w:line="480" w:lineRule="exact"/>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运营期执行《工业企业厂界环境噪声排放标准》（GB12348-2008）中2类区标准</w:t>
            </w:r>
            <w:r>
              <w:rPr>
                <w:rFonts w:hint="eastAsia"/>
                <w:bCs/>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下</w:t>
            </w:r>
            <w:r>
              <w:rPr>
                <w:color w:val="000000" w:themeColor="text1"/>
                <w:sz w:val="24"/>
                <w14:textFill>
                  <w14:solidFill>
                    <w14:schemeClr w14:val="tx1"/>
                  </w14:solidFill>
                </w14:textFill>
              </w:rPr>
              <w:t>表。</w:t>
            </w:r>
          </w:p>
          <w:p>
            <w:pPr>
              <w:spacing w:line="480" w:lineRule="exact"/>
              <w:ind w:firstLine="361" w:firstLineChars="150"/>
              <w:jc w:val="center"/>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表4-7</w:t>
            </w:r>
            <w:r>
              <w:rPr>
                <w:b/>
                <w:color w:val="000000" w:themeColor="text1"/>
                <w:sz w:val="24"/>
                <w14:textFill>
                  <w14:solidFill>
                    <w14:schemeClr w14:val="tx1"/>
                  </w14:solidFill>
                </w14:textFill>
              </w:rPr>
              <w:t>工业企业厂界环境噪声排放标准  等效声级LAeq:dB</w:t>
            </w:r>
          </w:p>
          <w:tbl>
            <w:tblPr>
              <w:tblStyle w:val="32"/>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2918"/>
              <w:gridCol w:w="2965"/>
              <w:gridCol w:w="2711"/>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98" w:type="pct"/>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类  别</w:t>
                  </w:r>
                </w:p>
              </w:tc>
              <w:tc>
                <w:tcPr>
                  <w:tcW w:w="1725" w:type="pct"/>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昼  间</w:t>
                  </w:r>
                </w:p>
              </w:tc>
              <w:tc>
                <w:tcPr>
                  <w:tcW w:w="1577" w:type="pct"/>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夜  间</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98" w:type="pct"/>
                  <w:tcBorders>
                    <w:tl2br w:val="nil"/>
                    <w:tr2bl w:val="nil"/>
                  </w:tcBorders>
                  <w:vAlign w:val="center"/>
                </w:tcPr>
                <w:p>
                  <w:pPr>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2类</w:t>
                  </w:r>
                </w:p>
              </w:tc>
              <w:tc>
                <w:tcPr>
                  <w:tcW w:w="1725" w:type="pct"/>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60</w:t>
                  </w:r>
                </w:p>
              </w:tc>
              <w:tc>
                <w:tcPr>
                  <w:tcW w:w="1577" w:type="pct"/>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50</w:t>
                  </w:r>
                </w:p>
              </w:tc>
            </w:tr>
          </w:tbl>
          <w:p>
            <w:pPr>
              <w:spacing w:line="480" w:lineRule="exact"/>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bCs/>
                <w:color w:val="000000" w:themeColor="text1"/>
                <w:sz w:val="24"/>
                <w14:textFill>
                  <w14:solidFill>
                    <w14:schemeClr w14:val="tx1"/>
                  </w14:solidFill>
                </w14:textFill>
              </w:rPr>
              <w:t>固体废物</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工业固体废物执行《一般工业固体废物贮存、处置场污染物控制标准》(GB18599-2001)</w:t>
            </w:r>
            <w:r>
              <w:rPr>
                <w:rFonts w:hint="eastAsia"/>
                <w:color w:val="000000" w:themeColor="text1"/>
                <w:sz w:val="24"/>
                <w14:textFill>
                  <w14:solidFill>
                    <w14:schemeClr w14:val="tx1"/>
                  </w14:solidFill>
                </w14:textFill>
              </w:rPr>
              <w:t>标准</w:t>
            </w:r>
            <w:r>
              <w:rPr>
                <w:color w:val="000000" w:themeColor="text1"/>
                <w:sz w:val="24"/>
                <w14:textFill>
                  <w14:solidFill>
                    <w14:schemeClr w14:val="tx1"/>
                  </w14:solidFill>
                </w14:textFill>
              </w:rPr>
              <w:t>及2013修改单。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8" w:hRule="atLeast"/>
        </w:trPr>
        <w:tc>
          <w:tcPr>
            <w:tcW w:w="266" w:type="pct"/>
            <w:vAlign w:val="center"/>
          </w:tcPr>
          <w:p>
            <w:pPr>
              <w:spacing w:line="36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总</w:t>
            </w:r>
          </w:p>
          <w:p>
            <w:pPr>
              <w:spacing w:line="36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量</w:t>
            </w:r>
          </w:p>
          <w:p>
            <w:pPr>
              <w:spacing w:line="36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控</w:t>
            </w:r>
          </w:p>
          <w:p>
            <w:pPr>
              <w:spacing w:line="36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制</w:t>
            </w:r>
          </w:p>
          <w:p>
            <w:pPr>
              <w:spacing w:line="36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指</w:t>
            </w:r>
          </w:p>
          <w:p>
            <w:pPr>
              <w:spacing w:line="360" w:lineRule="exact"/>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标</w:t>
            </w:r>
          </w:p>
        </w:tc>
        <w:tc>
          <w:tcPr>
            <w:tcW w:w="4734" w:type="pct"/>
          </w:tcPr>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根据山西省环境保护厅“关于印发《山西省环境保护厅建设项目主要污染物排放总量核定办法》的通知”（晋环发【2015】25号文），</w:t>
            </w:r>
            <w:r>
              <w:rPr>
                <w:rFonts w:hint="eastAsia"/>
                <w:color w:val="000000" w:themeColor="text1"/>
                <w:sz w:val="24"/>
                <w14:textFill>
                  <w14:solidFill>
                    <w14:schemeClr w14:val="tx1"/>
                  </w14:solidFill>
                </w14:textFill>
              </w:rPr>
              <w:t>本项目涉及国家和地方实施控制的总量控制因子为粉尘，本项目评价核算的总量控制指标为：粉尘：0.96</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w:t>
            </w: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pStyle w:val="16"/>
              <w:rPr>
                <w:color w:val="000000" w:themeColor="text1"/>
                <w:spacing w:val="4"/>
                <w:sz w:val="24"/>
                <w14:textFill>
                  <w14:solidFill>
                    <w14:schemeClr w14:val="tx1"/>
                  </w14:solidFill>
                </w14:textFill>
              </w:rPr>
            </w:pPr>
          </w:p>
          <w:p>
            <w:pPr>
              <w:spacing w:line="460" w:lineRule="exact"/>
              <w:ind w:firstLine="496" w:firstLineChars="200"/>
              <w:rPr>
                <w:color w:val="000000" w:themeColor="text1"/>
                <w:spacing w:val="4"/>
                <w:sz w:val="24"/>
                <w14:textFill>
                  <w14:solidFill>
                    <w14:schemeClr w14:val="tx1"/>
                  </w14:solidFill>
                </w14:textFill>
              </w:rPr>
            </w:pPr>
          </w:p>
          <w:p>
            <w:pPr>
              <w:pStyle w:val="31"/>
              <w:ind w:firstLine="496"/>
              <w:rPr>
                <w:color w:val="000000" w:themeColor="text1"/>
                <w:spacing w:val="4"/>
                <w:sz w:val="24"/>
                <w14:textFill>
                  <w14:solidFill>
                    <w14:schemeClr w14:val="tx1"/>
                  </w14:solidFill>
                </w14:textFill>
              </w:rPr>
            </w:pPr>
          </w:p>
          <w:p>
            <w:pPr>
              <w:rPr>
                <w:color w:val="000000" w:themeColor="text1"/>
                <w:spacing w:val="4"/>
                <w:sz w:val="24"/>
                <w14:textFill>
                  <w14:solidFill>
                    <w14:schemeClr w14:val="tx1"/>
                  </w14:solidFill>
                </w14:textFill>
              </w:rPr>
            </w:pPr>
          </w:p>
          <w:p>
            <w:pPr>
              <w:pStyle w:val="31"/>
              <w:ind w:firstLine="496"/>
              <w:rPr>
                <w:color w:val="000000" w:themeColor="text1"/>
                <w:spacing w:val="4"/>
                <w:sz w:val="24"/>
                <w14:textFill>
                  <w14:solidFill>
                    <w14:schemeClr w14:val="tx1"/>
                  </w14:solidFill>
                </w14:textFill>
              </w:rPr>
            </w:pPr>
          </w:p>
          <w:p>
            <w:pPr>
              <w:rPr>
                <w:color w:val="000000" w:themeColor="text1"/>
                <w:spacing w:val="4"/>
                <w:sz w:val="24"/>
                <w14:textFill>
                  <w14:solidFill>
                    <w14:schemeClr w14:val="tx1"/>
                  </w14:solidFill>
                </w14:textFill>
              </w:rPr>
            </w:pPr>
          </w:p>
          <w:p>
            <w:pPr>
              <w:pStyle w:val="31"/>
              <w:ind w:firstLine="496"/>
              <w:rPr>
                <w:color w:val="000000" w:themeColor="text1"/>
                <w:spacing w:val="4"/>
                <w:sz w:val="24"/>
                <w14:textFill>
                  <w14:solidFill>
                    <w14:schemeClr w14:val="tx1"/>
                  </w14:solidFill>
                </w14:textFill>
              </w:rPr>
            </w:pPr>
          </w:p>
          <w:p>
            <w:pPr>
              <w:rPr>
                <w:color w:val="000000" w:themeColor="text1"/>
                <w:spacing w:val="4"/>
                <w:sz w:val="24"/>
                <w14:textFill>
                  <w14:solidFill>
                    <w14:schemeClr w14:val="tx1"/>
                  </w14:solidFill>
                </w14:textFill>
              </w:rPr>
            </w:pPr>
          </w:p>
          <w:p>
            <w:pPr>
              <w:spacing w:line="460" w:lineRule="exact"/>
              <w:rPr>
                <w:color w:val="000000" w:themeColor="text1"/>
                <w:spacing w:val="4"/>
                <w:sz w:val="24"/>
                <w14:textFill>
                  <w14:solidFill>
                    <w14:schemeClr w14:val="tx1"/>
                  </w14:solidFill>
                </w14:textFill>
              </w:rPr>
            </w:pPr>
          </w:p>
        </w:tc>
      </w:tr>
    </w:tbl>
    <w:p>
      <w:pPr>
        <w:rPr>
          <w:rFonts w:eastAsia="黑体"/>
          <w:bCs/>
          <w:color w:val="000000" w:themeColor="text1"/>
          <w:sz w:val="32"/>
          <w:szCs w:val="32"/>
          <w14:textFill>
            <w14:solidFill>
              <w14:schemeClr w14:val="tx1"/>
            </w14:solidFill>
          </w14:textFill>
        </w:rPr>
        <w:sectPr>
          <w:pgSz w:w="11906" w:h="16838"/>
          <w:pgMar w:top="1418" w:right="1440" w:bottom="1418" w:left="1440" w:header="851" w:footer="992" w:gutter="0"/>
          <w:cols w:space="425" w:num="1"/>
          <w:docGrid w:type="lines" w:linePitch="312" w:charSpace="0"/>
        </w:sectPr>
      </w:pPr>
    </w:p>
    <w:p>
      <w:pPr>
        <w:outlineLvl w:val="0"/>
        <w:rPr>
          <w:rFonts w:eastAsia="黑体"/>
          <w:bCs/>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建设项目工程分析</w:t>
      </w:r>
    </w:p>
    <w:tbl>
      <w:tblPr>
        <w:tblStyle w:val="3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5000" w:type="pct"/>
          </w:tcPr>
          <w:p>
            <w:pPr>
              <w:spacing w:line="500" w:lineRule="atLeast"/>
              <w:rPr>
                <w:b/>
                <w:bCs/>
                <w:sz w:val="28"/>
                <w:szCs w:val="28"/>
              </w:rPr>
            </w:pPr>
            <w:r>
              <w:rPr>
                <w:b/>
                <w:bCs/>
                <w:sz w:val="28"/>
                <w:szCs w:val="28"/>
              </w:rPr>
              <w:t>工艺流程</w:t>
            </w:r>
          </w:p>
          <w:p>
            <w:pPr>
              <w:snapToGrid w:val="0"/>
              <w:spacing w:line="480" w:lineRule="exact"/>
              <w:ind w:firstLine="504"/>
              <w:rPr>
                <w:sz w:val="24"/>
                <w:szCs w:val="22"/>
              </w:rPr>
            </w:pPr>
            <w:r>
              <w:rPr>
                <w:rFonts w:hint="eastAsia"/>
                <w:sz w:val="24"/>
                <w:szCs w:val="22"/>
              </w:rPr>
              <w:t>1、</w:t>
            </w:r>
            <w:r>
              <w:rPr>
                <w:rFonts w:hint="eastAsia"/>
                <w:sz w:val="24"/>
              </w:rPr>
              <w:t>施工期</w:t>
            </w:r>
            <w:r>
              <w:rPr>
                <w:rFonts w:hint="eastAsia"/>
                <w:sz w:val="24"/>
                <w:szCs w:val="22"/>
              </w:rPr>
              <w:t>施工工艺流程及产污环节</w:t>
            </w:r>
            <w:r>
              <w:rPr>
                <w:sz w:val="24"/>
                <w:szCs w:val="22"/>
              </w:rPr>
              <w:t>图见图</w:t>
            </w:r>
            <w:r>
              <w:rPr>
                <w:rFonts w:hint="eastAsia"/>
                <w:sz w:val="24"/>
                <w:szCs w:val="22"/>
              </w:rPr>
              <w:t>5-1。</w:t>
            </w:r>
          </w:p>
          <w:p>
            <w:pPr>
              <w:snapToGrid w:val="0"/>
              <w:jc w:val="center"/>
              <w:rPr>
                <w:rFonts w:eastAsia="黑体"/>
                <w:spacing w:val="6"/>
              </w:rPr>
            </w:pPr>
            <w:r>
              <w:object>
                <v:shape id="_x0000_i1025" o:spt="75" type="#_x0000_t75" style="height:109.45pt;width:433.95pt;" o:ole="t" filled="f" o:preferrelative="t" stroked="f" coordsize="21600,21600">
                  <v:path/>
                  <v:fill on="f" focussize="0,0"/>
                  <v:stroke on="f"/>
                  <v:imagedata r:id="rId18" o:title=""/>
                  <o:lock v:ext="edit" aspectratio="t"/>
                  <w10:wrap type="none"/>
                  <w10:anchorlock/>
                </v:shape>
                <o:OLEObject Type="Embed" ProgID="Visio.Drawing.11" ShapeID="_x0000_i1025" DrawAspect="Content" ObjectID="_1468075725" r:id="rId17">
                  <o:LockedField>false</o:LockedField>
                </o:OLEObject>
              </w:object>
            </w:r>
          </w:p>
          <w:p>
            <w:pPr>
              <w:spacing w:line="480" w:lineRule="exact"/>
              <w:ind w:firstLine="200"/>
              <w:jc w:val="center"/>
              <w:rPr>
                <w:b/>
                <w:bCs/>
                <w:szCs w:val="21"/>
              </w:rPr>
            </w:pPr>
            <w:r>
              <w:rPr>
                <w:rFonts w:hint="eastAsia"/>
                <w:b/>
                <w:bCs/>
                <w:szCs w:val="21"/>
              </w:rPr>
              <w:t>图5-1   施工期产污环节示意图</w:t>
            </w:r>
          </w:p>
          <w:p>
            <w:pPr>
              <w:snapToGrid w:val="0"/>
              <w:spacing w:line="480" w:lineRule="exact"/>
              <w:ind w:firstLine="504"/>
              <w:rPr>
                <w:sz w:val="24"/>
              </w:rPr>
            </w:pPr>
            <w:r>
              <w:rPr>
                <w:rFonts w:hint="eastAsia"/>
                <w:spacing w:val="6"/>
                <w:sz w:val="24"/>
              </w:rPr>
              <w:t>2、</w:t>
            </w:r>
            <w:r>
              <w:rPr>
                <w:rFonts w:hint="eastAsia"/>
                <w:sz w:val="24"/>
              </w:rPr>
              <w:t>本项目为型煤的加工生产</w:t>
            </w:r>
            <w:r>
              <w:rPr>
                <w:rFonts w:hint="eastAsia"/>
                <w:sz w:val="24"/>
                <w:szCs w:val="22"/>
              </w:rPr>
              <w:t>。</w:t>
            </w:r>
            <w:r>
              <w:rPr>
                <w:rFonts w:hint="eastAsia"/>
                <w:spacing w:val="6"/>
                <w:sz w:val="24"/>
              </w:rPr>
              <w:t>运行</w:t>
            </w:r>
            <w:r>
              <w:rPr>
                <w:spacing w:val="6"/>
                <w:sz w:val="24"/>
              </w:rPr>
              <w:t>期生产工艺流程及产污环节图见图</w:t>
            </w:r>
            <w:r>
              <w:rPr>
                <w:rFonts w:hint="eastAsia"/>
                <w:spacing w:val="6"/>
                <w:sz w:val="24"/>
              </w:rPr>
              <w:t>5-</w:t>
            </w:r>
            <w:r>
              <w:rPr>
                <w:spacing w:val="6"/>
                <w:sz w:val="24"/>
              </w:rPr>
              <w:t>2</w:t>
            </w:r>
            <w:r>
              <w:rPr>
                <w:rFonts w:hint="eastAsia"/>
                <w:spacing w:val="6"/>
                <w:sz w:val="24"/>
              </w:rPr>
              <w:t>。</w:t>
            </w:r>
          </w:p>
          <w:p>
            <w:pPr>
              <w:spacing w:line="500" w:lineRule="exact"/>
              <w:ind w:firstLine="482"/>
              <w:rPr>
                <w:sz w:val="24"/>
              </w:rPr>
            </w:pPr>
            <w:r>
              <mc:AlternateContent>
                <mc:Choice Requires="wps">
                  <w:drawing>
                    <wp:anchor distT="0" distB="0" distL="114300" distR="114300" simplePos="0" relativeHeight="251671552" behindDoc="0" locked="0" layoutInCell="1" allowOverlap="1">
                      <wp:simplePos x="0" y="0"/>
                      <wp:positionH relativeFrom="column">
                        <wp:posOffset>2625090</wp:posOffset>
                      </wp:positionH>
                      <wp:positionV relativeFrom="paragraph">
                        <wp:posOffset>76835</wp:posOffset>
                      </wp:positionV>
                      <wp:extent cx="641350" cy="300990"/>
                      <wp:effectExtent l="5080" t="5080" r="20320" b="17780"/>
                      <wp:wrapNone/>
                      <wp:docPr id="57" name="矩形 57"/>
                      <wp:cNvGraphicFramePr/>
                      <a:graphic xmlns:a="http://schemas.openxmlformats.org/drawingml/2006/main">
                        <a:graphicData uri="http://schemas.microsoft.com/office/word/2010/wordprocessingShape">
                          <wps:wsp>
                            <wps:cNvSpPr/>
                            <wps:spPr>
                              <a:xfrm>
                                <a:off x="0" y="0"/>
                                <a:ext cx="64135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精煤</w:t>
                                  </w:r>
                                </w:p>
                              </w:txbxContent>
                            </wps:txbx>
                            <wps:bodyPr upright="1"/>
                          </wps:wsp>
                        </a:graphicData>
                      </a:graphic>
                    </wp:anchor>
                  </w:drawing>
                </mc:Choice>
                <mc:Fallback>
                  <w:pict>
                    <v:rect id="_x0000_s1026" o:spid="_x0000_s1026" o:spt="1" style="position:absolute;left:0pt;margin-left:206.7pt;margin-top:6.05pt;height:23.7pt;width:50.5pt;z-index:251671552;mso-width-relative:page;mso-height-relative:page;" fillcolor="#FFFFFF" filled="t" stroked="t" coordsize="21600,21600" o:gfxdata="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mR2o1wAAAAkBAAAPAAAAAAAAAAEAIAAAACIAAABkcnMv&#10;ZG93bnJldi54bWxQSwECFAAUAAAACACHTuJAzD508wQCAAAqBAAADgAAAAAAAAABACAAAAAmAQAA&#10;ZHJzL2Uyb0RvYy54bWxQSwUGAAAAAAYABgBZAQAAnAUAAAAA&#10;">
                      <v:fill on="t" focussize="0,0"/>
                      <v:stroke color="#000000" joinstyle="miter"/>
                      <v:imagedata o:title=""/>
                      <o:lock v:ext="edit" aspectratio="f"/>
                      <v:textbox>
                        <w:txbxContent>
                          <w:p>
                            <w:pPr>
                              <w:jc w:val="center"/>
                            </w:pPr>
                            <w:r>
                              <w:rPr>
                                <w:rFonts w:hint="eastAsia"/>
                              </w:rPr>
                              <w:t>精煤</w:t>
                            </w:r>
                          </w:p>
                        </w:txbxContent>
                      </v:textbox>
                    </v:rect>
                  </w:pict>
                </mc:Fallback>
              </mc:AlternateContent>
            </w:r>
          </w:p>
          <w:p>
            <w:pPr>
              <w:spacing w:line="500" w:lineRule="exact"/>
              <w:ind w:firstLine="482"/>
              <w:rPr>
                <w:sz w:val="24"/>
              </w:rPr>
            </w:pPr>
            <w:r>
              <mc:AlternateContent>
                <mc:Choice Requires="wps">
                  <w:drawing>
                    <wp:anchor distT="0" distB="0" distL="114300" distR="114300" simplePos="0" relativeHeight="251672576" behindDoc="0" locked="0" layoutInCell="1" allowOverlap="1">
                      <wp:simplePos x="0" y="0"/>
                      <wp:positionH relativeFrom="column">
                        <wp:posOffset>2976245</wp:posOffset>
                      </wp:positionH>
                      <wp:positionV relativeFrom="paragraph">
                        <wp:posOffset>67310</wp:posOffset>
                      </wp:positionV>
                      <wp:extent cx="635" cy="410210"/>
                      <wp:effectExtent l="48895" t="0" r="64770" b="8890"/>
                      <wp:wrapNone/>
                      <wp:docPr id="72" name="直接连接符 72"/>
                      <wp:cNvGraphicFramePr/>
                      <a:graphic xmlns:a="http://schemas.openxmlformats.org/drawingml/2006/main">
                        <a:graphicData uri="http://schemas.microsoft.com/office/word/2010/wordprocessingShape">
                          <wps:wsp>
                            <wps:cNvCnPr/>
                            <wps:spPr>
                              <a:xfrm>
                                <a:off x="0" y="0"/>
                                <a:ext cx="635" cy="41021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34.35pt;margin-top:5.3pt;height:32.3pt;width:0.05pt;z-index:251672576;mso-width-relative:page;mso-height-relative:page;" filled="f" stroked="t" coordsize="21600,21600" o:gfxdata="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zYS2NgAAAAJAQAADwAAAAAAAAABACAAAAAiAAAAZHJzL2Rvd25yZXYueG1sUEsB&#10;AhQAFAAAAAgAh07iQOcuEvb1AQAA3AMAAA4AAAAAAAAAAQAgAAAAJwEAAGRycy9lMm9Eb2MueG1s&#10;UEsFBgAAAAAGAAYAWQEAAI4FAAAAAA==&#10;">
                      <v:fill on="f" focussize="0,0"/>
                      <v:stroke color="#000000" joinstyle="round" endarrow="open"/>
                      <v:imagedata o:title=""/>
                      <o:lock v:ext="edit" aspectratio="f"/>
                    </v:line>
                  </w:pict>
                </mc:Fallback>
              </mc:AlternateContent>
            </w:r>
          </w:p>
          <w:p>
            <w:pPr>
              <w:spacing w:line="500" w:lineRule="exact"/>
              <w:ind w:firstLine="482"/>
              <w:rPr>
                <w:sz w:val="24"/>
              </w:rPr>
            </w:pPr>
            <w:r>
              <mc:AlternateContent>
                <mc:Choice Requires="wps">
                  <w:drawing>
                    <wp:anchor distT="0" distB="0" distL="114300" distR="114300" simplePos="0" relativeHeight="251677696" behindDoc="0" locked="0" layoutInCell="1" allowOverlap="1">
                      <wp:simplePos x="0" y="0"/>
                      <wp:positionH relativeFrom="column">
                        <wp:posOffset>3948430</wp:posOffset>
                      </wp:positionH>
                      <wp:positionV relativeFrom="paragraph">
                        <wp:posOffset>161290</wp:posOffset>
                      </wp:positionV>
                      <wp:extent cx="667385" cy="263525"/>
                      <wp:effectExtent l="0" t="0" r="18415" b="3175"/>
                      <wp:wrapNone/>
                      <wp:docPr id="101" name="矩形 101"/>
                      <wp:cNvGraphicFramePr/>
                      <a:graphic xmlns:a="http://schemas.openxmlformats.org/drawingml/2006/main">
                        <a:graphicData uri="http://schemas.microsoft.com/office/word/2010/wordprocessingShape">
                          <wps:wsp>
                            <wps:cNvSpPr/>
                            <wps:spPr>
                              <a:xfrm>
                                <a:off x="0" y="0"/>
                                <a:ext cx="667385" cy="263525"/>
                              </a:xfrm>
                              <a:prstGeom prst="rect">
                                <a:avLst/>
                              </a:prstGeom>
                              <a:solidFill>
                                <a:srgbClr val="FFFFFF"/>
                              </a:solidFill>
                              <a:ln w="9525" cap="flat" cmpd="sng">
                                <a:noFill/>
                                <a:prstDash val="solid"/>
                                <a:miter/>
                                <a:headEnd type="none" w="med" len="med"/>
                                <a:tailEnd type="none" w="med" len="med"/>
                              </a:ln>
                            </wps:spPr>
                            <wps:txbx>
                              <w:txbxContent>
                                <w:p>
                                  <w:pPr>
                                    <w:jc w:val="center"/>
                                  </w:pPr>
                                  <w:r>
                                    <w:rPr>
                                      <w:rFonts w:hint="eastAsia"/>
                                    </w:rPr>
                                    <w:t>兰炭末</w:t>
                                  </w:r>
                                </w:p>
                              </w:txbxContent>
                            </wps:txbx>
                            <wps:bodyPr upright="1"/>
                          </wps:wsp>
                        </a:graphicData>
                      </a:graphic>
                    </wp:anchor>
                  </w:drawing>
                </mc:Choice>
                <mc:Fallback>
                  <w:pict>
                    <v:rect id="_x0000_s1026" o:spid="_x0000_s1026" o:spt="1" style="position:absolute;left:0pt;margin-left:310.9pt;margin-top:12.7pt;height:20.75pt;width:52.55pt;z-index:251677696;mso-width-relative:page;mso-height-relative:page;" fillcolor="#FFFFFF" filled="t" stroked="f" coordsize="21600,21600" o:gfxdata="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rg+cdcAAAAJAQAADwAAAAAAAAABACAAAAAiAAAAZHJzL2Rvd25yZXYu&#10;eG1sUEsBAhQAFAAAAAgAh07iQOtzE4D8AQAAAwQAAA4AAAAAAAAAAQAgAAAAJgEAAGRycy9lMm9E&#10;b2MueG1sUEsFBgAAAAAGAAYAWQEAAJQFAAAAAA==&#10;">
                      <v:fill on="t" focussize="0,0"/>
                      <v:stroke on="f" joinstyle="miter"/>
                      <v:imagedata o:title=""/>
                      <o:lock v:ext="edit" aspectratio="f"/>
                      <v:textbox>
                        <w:txbxContent>
                          <w:p>
                            <w:pPr>
                              <w:jc w:val="center"/>
                            </w:pPr>
                            <w:r>
                              <w:rPr>
                                <w:rFonts w:hint="eastAsia"/>
                              </w:rPr>
                              <w:t>兰炭末</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3517265</wp:posOffset>
                      </wp:positionH>
                      <wp:positionV relativeFrom="paragraph">
                        <wp:posOffset>311785</wp:posOffset>
                      </wp:positionV>
                      <wp:extent cx="478155" cy="1905"/>
                      <wp:effectExtent l="0" t="47625" r="17145" b="64770"/>
                      <wp:wrapNone/>
                      <wp:docPr id="84" name="直接连接符 84"/>
                      <wp:cNvGraphicFramePr/>
                      <a:graphic xmlns:a="http://schemas.openxmlformats.org/drawingml/2006/main">
                        <a:graphicData uri="http://schemas.microsoft.com/office/word/2010/wordprocessingShape">
                          <wps:wsp>
                            <wps:cNvCnPr/>
                            <wps:spPr>
                              <a:xfrm flipH="1">
                                <a:off x="0" y="0"/>
                                <a:ext cx="478155" cy="190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margin-left:276.95pt;margin-top:24.55pt;height:0.15pt;width:37.65pt;z-index:251676672;mso-width-relative:page;mso-height-relative:page;" filled="f" stroked="t" coordsize="21600,21600" o:gfxdata="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5lNG12QAAAAkBAAAPAAAAAAAAAAEAIAAAACIAAABkcnMvZG93bnJl&#10;di54bWxQSwECFAAUAAAACACHTuJA7N9Y3vwBAADnAwAADgAAAAAAAAABACAAAAAoAQAAZHJzL2Uy&#10;b0RvYy54bWxQSwUGAAAAAAYABgBZAQAAl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1463040</wp:posOffset>
                      </wp:positionH>
                      <wp:positionV relativeFrom="paragraph">
                        <wp:posOffset>164465</wp:posOffset>
                      </wp:positionV>
                      <wp:extent cx="507365" cy="263525"/>
                      <wp:effectExtent l="0" t="0" r="6985" b="3175"/>
                      <wp:wrapNone/>
                      <wp:docPr id="160" name="矩形 160"/>
                      <wp:cNvGraphicFramePr/>
                      <a:graphic xmlns:a="http://schemas.openxmlformats.org/drawingml/2006/main">
                        <a:graphicData uri="http://schemas.microsoft.com/office/word/2010/wordprocessingShape">
                          <wps:wsp>
                            <wps:cNvSpPr/>
                            <wps:spPr>
                              <a:xfrm>
                                <a:off x="0" y="0"/>
                                <a:ext cx="507365" cy="263525"/>
                              </a:xfrm>
                              <a:prstGeom prst="rect">
                                <a:avLst/>
                              </a:prstGeom>
                              <a:solidFill>
                                <a:srgbClr val="FFFFFF"/>
                              </a:solidFill>
                              <a:ln w="9525" cap="flat" cmpd="sng">
                                <a:noFill/>
                                <a:prstDash val="solid"/>
                                <a:miter/>
                                <a:headEnd type="none" w="med" len="med"/>
                                <a:tailEnd type="none" w="med" len="med"/>
                              </a:ln>
                            </wps:spPr>
                            <wps:txbx>
                              <w:txbxContent>
                                <w:p>
                                  <w:pPr>
                                    <w:jc w:val="center"/>
                                  </w:pPr>
                                  <w:r>
                                    <w:rPr>
                                      <w:rFonts w:hint="eastAsia"/>
                                    </w:rPr>
                                    <w:t>粉尘</w:t>
                                  </w:r>
                                </w:p>
                              </w:txbxContent>
                            </wps:txbx>
                            <wps:bodyPr upright="1"/>
                          </wps:wsp>
                        </a:graphicData>
                      </a:graphic>
                    </wp:anchor>
                  </w:drawing>
                </mc:Choice>
                <mc:Fallback>
                  <w:pict>
                    <v:rect id="_x0000_s1026" o:spid="_x0000_s1026" o:spt="1" style="position:absolute;left:0pt;margin-left:115.2pt;margin-top:12.95pt;height:20.75pt;width:39.95pt;z-index:251670528;mso-width-relative:page;mso-height-relative:page;" fillcolor="#FFFFFF" filled="t" stroked="f" coordsize="21600,21600" o:gfxdata="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psFMNcAAAAJAQAADwAAAAAAAAABACAAAAAiAAAAZHJzL2Rvd25yZXYu&#10;eG1sUEsBAhQAFAAAAAgAh07iQJHjoOv8AQAAAwQAAA4AAAAAAAAAAQAgAAAAJgEAAGRycy9lMm9E&#10;b2MueG1sUEsFBgAAAAAGAAYAWQEAAJQFAAAAAA==&#10;">
                      <v:fill on="t" focussize="0,0"/>
                      <v:stroke on="f" joinstyle="miter"/>
                      <v:imagedata o:title=""/>
                      <o:lock v:ext="edit" aspectratio="f"/>
                      <v:textbox>
                        <w:txbxContent>
                          <w:p>
                            <w:pPr>
                              <w:jc w:val="center"/>
                            </w:pPr>
                            <w:r>
                              <w:rPr>
                                <w:rFonts w:hint="eastAsia"/>
                              </w:rPr>
                              <w:t>粉尘</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1983740</wp:posOffset>
                      </wp:positionH>
                      <wp:positionV relativeFrom="paragraph">
                        <wp:posOffset>302260</wp:posOffset>
                      </wp:positionV>
                      <wp:extent cx="478155" cy="1905"/>
                      <wp:effectExtent l="0" t="47625" r="17145" b="64770"/>
                      <wp:wrapNone/>
                      <wp:docPr id="80" name="直接连接符 80"/>
                      <wp:cNvGraphicFramePr/>
                      <a:graphic xmlns:a="http://schemas.openxmlformats.org/drawingml/2006/main">
                        <a:graphicData uri="http://schemas.microsoft.com/office/word/2010/wordprocessingShape">
                          <wps:wsp>
                            <wps:cNvCnPr/>
                            <wps:spPr>
                              <a:xfrm flipH="1">
                                <a:off x="0" y="0"/>
                                <a:ext cx="478155" cy="190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margin-left:156.2pt;margin-top:23.8pt;height:0.15pt;width:37.65pt;z-index:251675648;mso-width-relative:page;mso-height-relative:page;" filled="f" stroked="t" coordsize="21600,21600" o:gfxdata="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NQJi7YAAAACQEAAA8AAAAAAAAAAQAgAAAAIgAAAGRycy9kb3ducmV2&#10;LnhtbFBLAQIUABQAAAAIAIdO4kBLezGK/AEAAOcDAAAOAAAAAAAAAAEAIAAAACcBAABkcnMvZTJv&#10;RG9jLnhtbFBLBQYAAAAABgAGAFkBAACV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2465070</wp:posOffset>
                      </wp:positionH>
                      <wp:positionV relativeFrom="paragraph">
                        <wp:posOffset>165100</wp:posOffset>
                      </wp:positionV>
                      <wp:extent cx="1046480" cy="300990"/>
                      <wp:effectExtent l="5080" t="5080" r="15240" b="17780"/>
                      <wp:wrapNone/>
                      <wp:docPr id="76" name="矩形 76"/>
                      <wp:cNvGraphicFramePr/>
                      <a:graphic xmlns:a="http://schemas.openxmlformats.org/drawingml/2006/main">
                        <a:graphicData uri="http://schemas.microsoft.com/office/word/2010/wordprocessingShape">
                          <wps:wsp>
                            <wps:cNvSpPr/>
                            <wps:spPr>
                              <a:xfrm>
                                <a:off x="0" y="0"/>
                                <a:ext cx="104648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定量给料仓</w:t>
                                  </w:r>
                                </w:p>
                              </w:txbxContent>
                            </wps:txbx>
                            <wps:bodyPr upright="1"/>
                          </wps:wsp>
                        </a:graphicData>
                      </a:graphic>
                    </wp:anchor>
                  </w:drawing>
                </mc:Choice>
                <mc:Fallback>
                  <w:pict>
                    <v:rect id="_x0000_s1026" o:spid="_x0000_s1026" o:spt="1" style="position:absolute;left:0pt;margin-left:194.1pt;margin-top:13pt;height:23.7pt;width:82.4pt;z-index:251673600;mso-width-relative:page;mso-height-relative:page;" fillcolor="#FFFFFF" filled="t" stroked="t" coordsize="21600,21600" o:gfxdata="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sDZ2XYAAAACQEAAA8AAAAAAAAAAQAgAAAAIgAAAGRy&#10;cy9kb3ducmV2LnhtbFBLAQIUABQAAAAIAIdO4kC87V+NBQIAACsEAAAOAAAAAAAAAAEAIAAAACcB&#10;AABkcnMvZTJvRG9jLnhtbFBLBQYAAAAABgAGAFkBAACeBQAAAAA=&#10;">
                      <v:fill on="t" focussize="0,0"/>
                      <v:stroke color="#000000" joinstyle="miter"/>
                      <v:imagedata o:title=""/>
                      <o:lock v:ext="edit" aspectratio="f"/>
                      <v:textbox>
                        <w:txbxContent>
                          <w:p>
                            <w:pPr>
                              <w:jc w:val="center"/>
                            </w:pPr>
                            <w:r>
                              <w:rPr>
                                <w:rFonts w:hint="eastAsia"/>
                              </w:rPr>
                              <w:t>定量给料仓</w:t>
                            </w:r>
                          </w:p>
                        </w:txbxContent>
                      </v:textbox>
                    </v:rect>
                  </w:pict>
                </mc:Fallback>
              </mc:AlternateContent>
            </w:r>
          </w:p>
          <w:p>
            <w:pPr>
              <w:spacing w:line="500" w:lineRule="exact"/>
              <w:ind w:firstLine="482"/>
              <w:rPr>
                <w:sz w:val="24"/>
              </w:rPr>
            </w:pPr>
            <w:r>
              <mc:AlternateContent>
                <mc:Choice Requires="wps">
                  <w:drawing>
                    <wp:anchor distT="0" distB="0" distL="114300" distR="114300" simplePos="0" relativeHeight="251674624" behindDoc="0" locked="0" layoutInCell="1" allowOverlap="1">
                      <wp:simplePos x="0" y="0"/>
                      <wp:positionH relativeFrom="column">
                        <wp:posOffset>3003550</wp:posOffset>
                      </wp:positionH>
                      <wp:positionV relativeFrom="paragraph">
                        <wp:posOffset>150495</wp:posOffset>
                      </wp:positionV>
                      <wp:extent cx="635" cy="410210"/>
                      <wp:effectExtent l="48895" t="0" r="64770" b="8890"/>
                      <wp:wrapNone/>
                      <wp:docPr id="77" name="直接连接符 77"/>
                      <wp:cNvGraphicFramePr/>
                      <a:graphic xmlns:a="http://schemas.openxmlformats.org/drawingml/2006/main">
                        <a:graphicData uri="http://schemas.microsoft.com/office/word/2010/wordprocessingShape">
                          <wps:wsp>
                            <wps:cNvCnPr/>
                            <wps:spPr>
                              <a:xfrm>
                                <a:off x="0" y="0"/>
                                <a:ext cx="635" cy="41021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36.5pt;margin-top:11.85pt;height:32.3pt;width:0.05pt;z-index:251674624;mso-width-relative:page;mso-height-relative:page;" filled="f" stroked="t" coordsize="21600,21600" o:gfxdata="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Mgk92gAAAAkBAAAPAAAAAAAAAAEAIAAAACIAAABkcnMvZG93bnJldi54bWxQ&#10;SwECFAAUAAAACACHTuJA2QVOFvUBAADcAwAADgAAAAAAAAABACAAAAApAQAAZHJzL2Uyb0RvYy54&#10;bWxQSwUGAAAAAAYABgBZAQAAkAUAAAAA&#10;">
                      <v:fill on="f" focussize="0,0"/>
                      <v:stroke color="#000000" joinstyle="round" endarrow="open"/>
                      <v:imagedata o:title=""/>
                      <o:lock v:ext="edit" aspectratio="f"/>
                    </v:line>
                  </w:pict>
                </mc:Fallback>
              </mc:AlternateContent>
            </w:r>
          </w:p>
          <w:p>
            <w:pPr>
              <w:spacing w:line="500" w:lineRule="exact"/>
              <w:ind w:firstLine="482"/>
              <w:rPr>
                <w:sz w:val="24"/>
              </w:rPr>
            </w:pPr>
            <w:r>
              <mc:AlternateContent>
                <mc:Choice Requires="wps">
                  <w:drawing>
                    <wp:anchor distT="0" distB="0" distL="114300" distR="114300" simplePos="0" relativeHeight="251686912" behindDoc="0" locked="0" layoutInCell="1" allowOverlap="1">
                      <wp:simplePos x="0" y="0"/>
                      <wp:positionH relativeFrom="column">
                        <wp:posOffset>1144270</wp:posOffset>
                      </wp:positionH>
                      <wp:positionV relativeFrom="paragraph">
                        <wp:posOffset>261620</wp:posOffset>
                      </wp:positionV>
                      <wp:extent cx="870585" cy="263525"/>
                      <wp:effectExtent l="0" t="0" r="5715" b="3175"/>
                      <wp:wrapNone/>
                      <wp:docPr id="127" name="矩形 127"/>
                      <wp:cNvGraphicFramePr/>
                      <a:graphic xmlns:a="http://schemas.openxmlformats.org/drawingml/2006/main">
                        <a:graphicData uri="http://schemas.microsoft.com/office/word/2010/wordprocessingShape">
                          <wps:wsp>
                            <wps:cNvSpPr/>
                            <wps:spPr>
                              <a:xfrm>
                                <a:off x="0" y="0"/>
                                <a:ext cx="870585" cy="263525"/>
                              </a:xfrm>
                              <a:prstGeom prst="rect">
                                <a:avLst/>
                              </a:prstGeom>
                              <a:solidFill>
                                <a:srgbClr val="FFFFFF"/>
                              </a:solidFill>
                              <a:ln w="9525" cap="flat" cmpd="sng">
                                <a:noFill/>
                                <a:prstDash val="solid"/>
                                <a:miter/>
                                <a:headEnd type="none" w="med" len="med"/>
                                <a:tailEnd type="none" w="med" len="med"/>
                              </a:ln>
                            </wps:spPr>
                            <wps:txbx>
                              <w:txbxContent>
                                <w:p>
                                  <w:pPr>
                                    <w:jc w:val="center"/>
                                  </w:pPr>
                                  <w:r>
                                    <w:rPr>
                                      <w:rFonts w:hint="eastAsia"/>
                                    </w:rPr>
                                    <w:t>噪声、粉尘</w:t>
                                  </w:r>
                                </w:p>
                              </w:txbxContent>
                            </wps:txbx>
                            <wps:bodyPr upright="1"/>
                          </wps:wsp>
                        </a:graphicData>
                      </a:graphic>
                    </wp:anchor>
                  </w:drawing>
                </mc:Choice>
                <mc:Fallback>
                  <w:pict>
                    <v:rect id="_x0000_s1026" o:spid="_x0000_s1026" o:spt="1" style="position:absolute;left:0pt;margin-left:90.1pt;margin-top:20.6pt;height:20.75pt;width:68.55pt;z-index:251686912;mso-width-relative:page;mso-height-relative:page;" fillcolor="#FFFFFF" filled="t" stroked="f" coordsize="21600,21600" o:gfxdata="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eUwHXAAAACQEAAA8AAAAAAAAAAQAgAAAAIgAAAGRycy9kb3ducmV2&#10;LnhtbFBLAQIUABQAAAAIAIdO4kCeBg8R/QEAAAMEAAAOAAAAAAAAAAEAIAAAACYBAABkcnMvZTJv&#10;RG9jLnhtbFBLBQYAAAAABgAGAFkBAACVBQAAAAA=&#10;">
                      <v:fill on="t" focussize="0,0"/>
                      <v:stroke on="f" joinstyle="miter"/>
                      <v:imagedata o:title=""/>
                      <o:lock v:ext="edit" aspectratio="f"/>
                      <v:textbox>
                        <w:txbxContent>
                          <w:p>
                            <w:pPr>
                              <w:jc w:val="center"/>
                            </w:pPr>
                            <w:r>
                              <w:rPr>
                                <w:rFonts w:hint="eastAsia"/>
                              </w:rPr>
                              <w:t>噪声、粉尘</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2468245</wp:posOffset>
                      </wp:positionH>
                      <wp:positionV relativeFrom="paragraph">
                        <wp:posOffset>254000</wp:posOffset>
                      </wp:positionV>
                      <wp:extent cx="1046480" cy="300990"/>
                      <wp:effectExtent l="5080" t="5080" r="15240" b="17780"/>
                      <wp:wrapNone/>
                      <wp:docPr id="102" name="矩形 102"/>
                      <wp:cNvGraphicFramePr/>
                      <a:graphic xmlns:a="http://schemas.openxmlformats.org/drawingml/2006/main">
                        <a:graphicData uri="http://schemas.microsoft.com/office/word/2010/wordprocessingShape">
                          <wps:wsp>
                            <wps:cNvSpPr/>
                            <wps:spPr>
                              <a:xfrm>
                                <a:off x="0" y="0"/>
                                <a:ext cx="104648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破碎</w:t>
                                  </w:r>
                                </w:p>
                              </w:txbxContent>
                            </wps:txbx>
                            <wps:bodyPr upright="1"/>
                          </wps:wsp>
                        </a:graphicData>
                      </a:graphic>
                    </wp:anchor>
                  </w:drawing>
                </mc:Choice>
                <mc:Fallback>
                  <w:pict>
                    <v:rect id="_x0000_s1026" o:spid="_x0000_s1026" o:spt="1" style="position:absolute;left:0pt;margin-left:194.35pt;margin-top:20pt;height:23.7pt;width:82.4pt;z-index:251678720;mso-width-relative:page;mso-height-relative:page;" fillcolor="#FFFFFF" filled="t" stroked="t" coordsize="21600,21600" o:gfxdata="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sMjF2AAAAAkBAAAPAAAAAAAAAAEAIAAAACIAAABk&#10;cnMvZG93bnJldi54bWxQSwECFAAUAAAACACHTuJADhaaCAYCAAAtBAAADgAAAAAAAAABACAAAAAn&#10;AQAAZHJzL2Uyb0RvYy54bWxQSwUGAAAAAAYABgBZAQAAnwUAAAAA&#10;">
                      <v:fill on="t" focussize="0,0"/>
                      <v:stroke color="#000000" joinstyle="miter"/>
                      <v:imagedata o:title=""/>
                      <o:lock v:ext="edit" aspectratio="f"/>
                      <v:textbox>
                        <w:txbxContent>
                          <w:p>
                            <w:pPr>
                              <w:jc w:val="center"/>
                            </w:pPr>
                            <w:r>
                              <w:rPr>
                                <w:rFonts w:hint="eastAsia"/>
                              </w:rPr>
                              <w:t>破碎</w:t>
                            </w:r>
                          </w:p>
                        </w:txbxContent>
                      </v:textbox>
                    </v:rect>
                  </w:pict>
                </mc:Fallback>
              </mc:AlternateContent>
            </w:r>
          </w:p>
          <w:p>
            <w:pPr>
              <w:spacing w:line="500" w:lineRule="exact"/>
              <w:ind w:firstLine="482"/>
              <w:rPr>
                <w:sz w:val="24"/>
              </w:rPr>
            </w:pPr>
            <w:r>
              <mc:AlternateContent>
                <mc:Choice Requires="wps">
                  <w:drawing>
                    <wp:anchor distT="0" distB="0" distL="114300" distR="114300" simplePos="0" relativeHeight="251688960" behindDoc="0" locked="0" layoutInCell="1" allowOverlap="1">
                      <wp:simplePos x="0" y="0"/>
                      <wp:positionH relativeFrom="column">
                        <wp:posOffset>3481070</wp:posOffset>
                      </wp:positionH>
                      <wp:positionV relativeFrom="paragraph">
                        <wp:posOffset>253365</wp:posOffset>
                      </wp:positionV>
                      <wp:extent cx="1156335" cy="263525"/>
                      <wp:effectExtent l="0" t="0" r="5715" b="3175"/>
                      <wp:wrapNone/>
                      <wp:docPr id="133" name="矩形 133"/>
                      <wp:cNvGraphicFramePr/>
                      <a:graphic xmlns:a="http://schemas.openxmlformats.org/drawingml/2006/main">
                        <a:graphicData uri="http://schemas.microsoft.com/office/word/2010/wordprocessingShape">
                          <wps:wsp>
                            <wps:cNvSpPr/>
                            <wps:spPr>
                              <a:xfrm>
                                <a:off x="0" y="0"/>
                                <a:ext cx="1156335" cy="263525"/>
                              </a:xfrm>
                              <a:prstGeom prst="rect">
                                <a:avLst/>
                              </a:prstGeom>
                              <a:solidFill>
                                <a:srgbClr val="FFFFFF"/>
                              </a:solidFill>
                              <a:ln w="9525" cap="flat" cmpd="sng">
                                <a:noFill/>
                                <a:prstDash val="solid"/>
                                <a:miter/>
                                <a:headEnd type="none" w="med" len="med"/>
                                <a:tailEnd type="none" w="med" len="med"/>
                              </a:ln>
                            </wps:spPr>
                            <wps:txbx>
                              <w:txbxContent>
                                <w:p>
                                  <w:pPr>
                                    <w:jc w:val="center"/>
                                  </w:pPr>
                                  <w:r>
                                    <w:rPr>
                                      <w:rFonts w:hint="eastAsia"/>
                                    </w:rPr>
                                    <w:t>粘结剂、固硫剂</w:t>
                                  </w:r>
                                </w:p>
                              </w:txbxContent>
                            </wps:txbx>
                            <wps:bodyPr upright="1"/>
                          </wps:wsp>
                        </a:graphicData>
                      </a:graphic>
                    </wp:anchor>
                  </w:drawing>
                </mc:Choice>
                <mc:Fallback>
                  <w:pict>
                    <v:rect id="_x0000_s1026" o:spid="_x0000_s1026" o:spt="1" style="position:absolute;left:0pt;margin-left:274.1pt;margin-top:19.95pt;height:20.75pt;width:91.05pt;z-index:251688960;mso-width-relative:page;mso-height-relative:page;" fillcolor="#FFFFFF" filled="t" stroked="f" coordsize="21600,21600" o:gfxdata="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AB3u2AAAAAkBAAAPAAAAAAAAAAEAIAAAACIAAABkcnMvZG93bnJl&#10;di54bWxQSwECFAAUAAAACACHTuJARR5LOP0BAAAEBAAADgAAAAAAAAABACAAAAAnAQAAZHJzL2Uy&#10;b0RvYy54bWxQSwUGAAAAAAYABgBZAQAAlgUAAAAA&#10;">
                      <v:fill on="t" focussize="0,0"/>
                      <v:stroke on="f" joinstyle="miter"/>
                      <v:imagedata o:title=""/>
                      <o:lock v:ext="edit" aspectratio="f"/>
                      <v:textbox>
                        <w:txbxContent>
                          <w:p>
                            <w:pPr>
                              <w:jc w:val="center"/>
                            </w:pPr>
                            <w:r>
                              <w:rPr>
                                <w:rFonts w:hint="eastAsia"/>
                              </w:rPr>
                              <w:t>粘结剂、固硫剂</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2004060</wp:posOffset>
                      </wp:positionH>
                      <wp:positionV relativeFrom="paragraph">
                        <wp:posOffset>86995</wp:posOffset>
                      </wp:positionV>
                      <wp:extent cx="464185" cy="1270"/>
                      <wp:effectExtent l="0" t="48260" r="12065" b="64770"/>
                      <wp:wrapNone/>
                      <wp:docPr id="157" name="直接连接符 157"/>
                      <wp:cNvGraphicFramePr/>
                      <a:graphic xmlns:a="http://schemas.openxmlformats.org/drawingml/2006/main">
                        <a:graphicData uri="http://schemas.microsoft.com/office/word/2010/wordprocessingShape">
                          <wps:wsp>
                            <wps:cNvCnPr>
                              <a:stCxn id="102" idx="1"/>
                            </wps:cNvCnPr>
                            <wps:spPr>
                              <a:xfrm flipH="1">
                                <a:off x="0" y="0"/>
                                <a:ext cx="464185"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margin-left:157.8pt;margin-top:6.85pt;height:0.1pt;width:36.55pt;z-index:251669504;mso-width-relative:page;mso-height-relative:page;" filled="f" stroked="t" coordsize="21600,21600" o:gfxdata="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ABUHXAAAACQEAAA8AAAAAAAAAAQAg&#10;AAAAIgAAAGRycy9kb3ducmV2LnhtbFBLAQIUABQAAAAIAIdO4kCNXMZ7DwIAABEEAAAOAAAAAAAA&#10;AAEAIAAAACYBAABkcnMvZTJvRG9jLnhtbFBLBQYAAAAABgAGAFkBAACn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2995295</wp:posOffset>
                      </wp:positionH>
                      <wp:positionV relativeFrom="paragraph">
                        <wp:posOffset>245745</wp:posOffset>
                      </wp:positionV>
                      <wp:extent cx="635" cy="410210"/>
                      <wp:effectExtent l="48895" t="0" r="64770" b="8890"/>
                      <wp:wrapNone/>
                      <wp:docPr id="107" name="直接连接符 107"/>
                      <wp:cNvGraphicFramePr/>
                      <a:graphic xmlns:a="http://schemas.openxmlformats.org/drawingml/2006/main">
                        <a:graphicData uri="http://schemas.microsoft.com/office/word/2010/wordprocessingShape">
                          <wps:wsp>
                            <wps:cNvCnPr/>
                            <wps:spPr>
                              <a:xfrm>
                                <a:off x="0" y="0"/>
                                <a:ext cx="635" cy="41021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35.85pt;margin-top:19.35pt;height:32.3pt;width:0.05pt;z-index:251679744;mso-width-relative:page;mso-height-relative:page;" filled="f" stroked="t" coordsize="21600,21600" o:gfxdata="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yEqp2QAAAAoBAAAPAAAAAAAAAAEAIAAAACIAAABkcnMvZG93bnJldi54bWxQ&#10;SwECFAAUAAAACACHTuJAvsurZ/YBAADeAwAADgAAAAAAAAABACAAAAAoAQAAZHJzL2Uyb0RvYy54&#10;bWxQSwUGAAAAAAYABgBZAQAAkAUAAAAA&#10;">
                      <v:fill on="f" focussize="0,0"/>
                      <v:stroke color="#000000" joinstyle="round" endarrow="open"/>
                      <v:imagedata o:title=""/>
                      <o:lock v:ext="edit" aspectratio="f"/>
                    </v:line>
                  </w:pict>
                </mc:Fallback>
              </mc:AlternateContent>
            </w:r>
          </w:p>
          <w:p>
            <w:pPr>
              <w:spacing w:line="500" w:lineRule="exact"/>
              <w:ind w:firstLine="482"/>
              <w:rPr>
                <w:sz w:val="24"/>
              </w:rPr>
            </w:pPr>
            <w:r>
              <mc:AlternateContent>
                <mc:Choice Requires="wps">
                  <w:drawing>
                    <wp:anchor distT="0" distB="0" distL="114300" distR="114300" simplePos="0" relativeHeight="251691008" behindDoc="0" locked="0" layoutInCell="1" allowOverlap="1">
                      <wp:simplePos x="0" y="0"/>
                      <wp:positionH relativeFrom="column">
                        <wp:posOffset>3984625</wp:posOffset>
                      </wp:positionH>
                      <wp:positionV relativeFrom="paragraph">
                        <wp:posOffset>279400</wp:posOffset>
                      </wp:positionV>
                      <wp:extent cx="513080" cy="263525"/>
                      <wp:effectExtent l="0" t="0" r="1270" b="3175"/>
                      <wp:wrapNone/>
                      <wp:docPr id="135" name="矩形 135"/>
                      <wp:cNvGraphicFramePr/>
                      <a:graphic xmlns:a="http://schemas.openxmlformats.org/drawingml/2006/main">
                        <a:graphicData uri="http://schemas.microsoft.com/office/word/2010/wordprocessingShape">
                          <wps:wsp>
                            <wps:cNvSpPr/>
                            <wps:spPr>
                              <a:xfrm>
                                <a:off x="0" y="0"/>
                                <a:ext cx="513080" cy="263525"/>
                              </a:xfrm>
                              <a:prstGeom prst="rect">
                                <a:avLst/>
                              </a:prstGeom>
                              <a:solidFill>
                                <a:srgbClr val="FFFFFF"/>
                              </a:solidFill>
                              <a:ln w="9525" cap="flat" cmpd="sng">
                                <a:noFill/>
                                <a:prstDash val="solid"/>
                                <a:miter/>
                                <a:headEnd type="none" w="med" len="med"/>
                                <a:tailEnd type="none" w="med" len="med"/>
                              </a:ln>
                            </wps:spPr>
                            <wps:txbx>
                              <w:txbxContent>
                                <w:p>
                                  <w:pPr>
                                    <w:jc w:val="center"/>
                                  </w:pPr>
                                  <w:r>
                                    <w:rPr>
                                      <w:rFonts w:hint="eastAsia"/>
                                    </w:rPr>
                                    <w:t>补水</w:t>
                                  </w:r>
                                </w:p>
                              </w:txbxContent>
                            </wps:txbx>
                            <wps:bodyPr upright="1"/>
                          </wps:wsp>
                        </a:graphicData>
                      </a:graphic>
                    </wp:anchor>
                  </w:drawing>
                </mc:Choice>
                <mc:Fallback>
                  <w:pict>
                    <v:rect id="_x0000_s1026" o:spid="_x0000_s1026" o:spt="1" style="position:absolute;left:0pt;margin-left:313.75pt;margin-top:22pt;height:20.75pt;width:40.4pt;z-index:251691008;mso-width-relative:page;mso-height-relative:page;" fillcolor="#FFFFFF" filled="t" stroked="f" coordsize="21600,21600" o:gfxdata="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rzSWjYAAAACQEAAA8AAAAAAAAAAQAgAAAAIgAAAGRycy9kb3ducmV2&#10;LnhtbFBLAQIUABQAAAAIAIdO4kC3ys0t/AEAAAMEAAAOAAAAAAAAAAEAIAAAACcBAABkcnMvZTJv&#10;RG9jLnhtbFBLBQYAAAAABgAGAFkBAACVBQAAAAA=&#10;">
                      <v:fill on="t" focussize="0,0"/>
                      <v:stroke on="f" joinstyle="miter"/>
                      <v:imagedata o:title=""/>
                      <o:lock v:ext="edit" aspectratio="f"/>
                      <v:textbox>
                        <w:txbxContent>
                          <w:p>
                            <w:pPr>
                              <w:jc w:val="center"/>
                            </w:pPr>
                            <w:r>
                              <w:rPr>
                                <w:rFonts w:hint="eastAsia"/>
                              </w:rPr>
                              <w:t>补水</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3007360</wp:posOffset>
                      </wp:positionH>
                      <wp:positionV relativeFrom="paragraph">
                        <wp:posOffset>82550</wp:posOffset>
                      </wp:positionV>
                      <wp:extent cx="464185" cy="1270"/>
                      <wp:effectExtent l="0" t="48260" r="12065" b="64770"/>
                      <wp:wrapNone/>
                      <wp:docPr id="130" name="直接连接符 130"/>
                      <wp:cNvGraphicFramePr/>
                      <a:graphic xmlns:a="http://schemas.openxmlformats.org/drawingml/2006/main">
                        <a:graphicData uri="http://schemas.microsoft.com/office/word/2010/wordprocessingShape">
                          <wps:wsp>
                            <wps:cNvCnPr/>
                            <wps:spPr>
                              <a:xfrm flipH="1">
                                <a:off x="0" y="0"/>
                                <a:ext cx="464185"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margin-left:236.8pt;margin-top:6.5pt;height:0.1pt;width:36.55pt;z-index:251687936;mso-width-relative:page;mso-height-relative:page;" filled="f" stroked="t" coordsize="21600,21600" o:gfxdata="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iftrtgAAAAJAQAADwAAAAAAAAABACAAAAAiAAAAZHJzL2Rvd25y&#10;ZXYueG1sUEsBAhQAFAAAAAgAh07iQIinzwL+AQAA6QMAAA4AAAAAAAAAAQAgAAAAJwEAAGRycy9l&#10;Mm9Eb2MueG1sUEsFBgAAAAAGAAYAWQEAAJcFAAAAAA==&#10;">
                      <v:fill on="f" focussize="0,0"/>
                      <v:stroke color="#000000" joinstyle="round" endarrow="open"/>
                      <v:imagedata o:title=""/>
                      <o:lock v:ext="edit" aspectratio="f"/>
                    </v:line>
                  </w:pict>
                </mc:Fallback>
              </mc:AlternateContent>
            </w:r>
          </w:p>
          <w:p>
            <w:pPr>
              <w:spacing w:line="500" w:lineRule="exact"/>
              <w:ind w:firstLine="482"/>
              <w:rPr>
                <w:sz w:val="24"/>
              </w:rPr>
            </w:pPr>
            <w:r>
              <mc:AlternateContent>
                <mc:Choice Requires="wps">
                  <w:drawing>
                    <wp:anchor distT="0" distB="0" distL="114300" distR="114300" simplePos="0" relativeHeight="251693056" behindDoc="0" locked="0" layoutInCell="1" allowOverlap="1">
                      <wp:simplePos x="0" y="0"/>
                      <wp:positionH relativeFrom="column">
                        <wp:posOffset>1481455</wp:posOffset>
                      </wp:positionH>
                      <wp:positionV relativeFrom="paragraph">
                        <wp:posOffset>38735</wp:posOffset>
                      </wp:positionV>
                      <wp:extent cx="477520" cy="263525"/>
                      <wp:effectExtent l="0" t="0" r="17780" b="3175"/>
                      <wp:wrapNone/>
                      <wp:docPr id="139" name="矩形 139"/>
                      <wp:cNvGraphicFramePr/>
                      <a:graphic xmlns:a="http://schemas.openxmlformats.org/drawingml/2006/main">
                        <a:graphicData uri="http://schemas.microsoft.com/office/word/2010/wordprocessingShape">
                          <wps:wsp>
                            <wps:cNvSpPr/>
                            <wps:spPr>
                              <a:xfrm>
                                <a:off x="0" y="0"/>
                                <a:ext cx="477520" cy="263525"/>
                              </a:xfrm>
                              <a:prstGeom prst="rect">
                                <a:avLst/>
                              </a:prstGeom>
                              <a:solidFill>
                                <a:srgbClr val="FFFFFF"/>
                              </a:solidFill>
                              <a:ln w="9525" cap="flat" cmpd="sng">
                                <a:noFill/>
                                <a:prstDash val="solid"/>
                                <a:miter/>
                                <a:headEnd type="none" w="med" len="med"/>
                                <a:tailEnd type="none" w="med" len="med"/>
                              </a:ln>
                            </wps:spPr>
                            <wps:txbx>
                              <w:txbxContent>
                                <w:p>
                                  <w:pPr>
                                    <w:jc w:val="center"/>
                                  </w:pPr>
                                  <w:r>
                                    <w:rPr>
                                      <w:rFonts w:hint="eastAsia"/>
                                    </w:rPr>
                                    <w:t>噪声</w:t>
                                  </w:r>
                                </w:p>
                              </w:txbxContent>
                            </wps:txbx>
                            <wps:bodyPr upright="1"/>
                          </wps:wsp>
                        </a:graphicData>
                      </a:graphic>
                    </wp:anchor>
                  </w:drawing>
                </mc:Choice>
                <mc:Fallback>
                  <w:pict>
                    <v:rect id="_x0000_s1026" o:spid="_x0000_s1026" o:spt="1" style="position:absolute;left:0pt;margin-left:116.65pt;margin-top:3.05pt;height:20.75pt;width:37.6pt;z-index:251693056;mso-width-relative:page;mso-height-relative:page;" fillcolor="#FFFFFF" filled="t" stroked="f" coordsize="21600,21600" o:gfxdata="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XKGCNYAAAAIAQAADwAAAAAAAAABACAAAAAiAAAAZHJzL2Rvd25yZXYu&#10;eG1sUEsBAhQAFAAAAAgAh07iQNYhwj39AQAAAwQAAA4AAAAAAAAAAQAgAAAAJQEAAGRycy9lMm9E&#10;b2MueG1sUEsFBgAAAAAGAAYAWQEAAJQFAAAAAA==&#10;">
                      <v:fill on="t" focussize="0,0"/>
                      <v:stroke on="f" joinstyle="miter"/>
                      <v:imagedata o:title=""/>
                      <o:lock v:ext="edit" aspectratio="f"/>
                      <v:textbox>
                        <w:txbxContent>
                          <w:p>
                            <w:pPr>
                              <w:jc w:val="center"/>
                            </w:pPr>
                            <w:r>
                              <w:rPr>
                                <w:rFonts w:hint="eastAsia"/>
                              </w:rPr>
                              <w:t>噪声</w:t>
                            </w:r>
                          </w:p>
                        </w:txbxContent>
                      </v:textbox>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1996440</wp:posOffset>
                      </wp:positionH>
                      <wp:positionV relativeFrom="paragraph">
                        <wp:posOffset>170180</wp:posOffset>
                      </wp:positionV>
                      <wp:extent cx="464185" cy="1270"/>
                      <wp:effectExtent l="0" t="48260" r="12065" b="64770"/>
                      <wp:wrapNone/>
                      <wp:docPr id="138" name="直接连接符 138"/>
                      <wp:cNvGraphicFramePr/>
                      <a:graphic xmlns:a="http://schemas.openxmlformats.org/drawingml/2006/main">
                        <a:graphicData uri="http://schemas.microsoft.com/office/word/2010/wordprocessingShape">
                          <wps:wsp>
                            <wps:cNvCnPr/>
                            <wps:spPr>
                              <a:xfrm flipH="1">
                                <a:off x="0" y="0"/>
                                <a:ext cx="464185"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margin-left:157.2pt;margin-top:13.4pt;height:0.1pt;width:36.55pt;z-index:251692032;mso-width-relative:page;mso-height-relative:page;" filled="f" stroked="t" coordsize="21600,21600" o:gfxdata="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NSlgbYAAAACQEAAA8AAAAAAAAAAQAgAAAAIgAAAGRycy9kb3du&#10;cmV2LnhtbFBLAQIUABQAAAAIAIdO4kC+8Tmt/wEAAOkDAAAOAAAAAAAAAAEAIAAAACcBAABkcnMv&#10;ZTJvRG9jLnhtbFBLBQYAAAAABgAGAFkBAACY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3967480</wp:posOffset>
                      </wp:positionH>
                      <wp:positionV relativeFrom="paragraph">
                        <wp:posOffset>145415</wp:posOffset>
                      </wp:positionV>
                      <wp:extent cx="787400" cy="263525"/>
                      <wp:effectExtent l="0" t="0" r="0" b="0"/>
                      <wp:wrapNone/>
                      <wp:docPr id="141" name="矩形 141"/>
                      <wp:cNvGraphicFramePr/>
                      <a:graphic xmlns:a="http://schemas.openxmlformats.org/drawingml/2006/main">
                        <a:graphicData uri="http://schemas.microsoft.com/office/word/2010/wordprocessingShape">
                          <wps:wsp>
                            <wps:cNvSpPr/>
                            <wps:spPr>
                              <a:xfrm>
                                <a:off x="0" y="0"/>
                                <a:ext cx="787400" cy="263525"/>
                              </a:xfrm>
                              <a:prstGeom prst="rect">
                                <a:avLst/>
                              </a:prstGeom>
                              <a:noFill/>
                              <a:ln w="9525" cap="flat" cmpd="sng">
                                <a:noFill/>
                                <a:prstDash val="solid"/>
                                <a:miter/>
                                <a:headEnd type="none" w="med" len="med"/>
                                <a:tailEnd type="none" w="med" len="med"/>
                              </a:ln>
                            </wps:spPr>
                            <wps:txbx>
                              <w:txbxContent>
                                <w:p>
                                  <w:pPr>
                                    <w:jc w:val="center"/>
                                  </w:pPr>
                                  <w:r>
                                    <w:rPr>
                                      <w:rFonts w:hint="eastAsia"/>
                                    </w:rPr>
                                    <w:t>收集粉尘</w:t>
                                  </w:r>
                                </w:p>
                              </w:txbxContent>
                            </wps:txbx>
                            <wps:bodyPr upright="1"/>
                          </wps:wsp>
                        </a:graphicData>
                      </a:graphic>
                    </wp:anchor>
                  </w:drawing>
                </mc:Choice>
                <mc:Fallback>
                  <w:pict>
                    <v:rect id="_x0000_s1026" o:spid="_x0000_s1026" o:spt="1" style="position:absolute;left:0pt;margin-left:312.4pt;margin-top:11.45pt;height:20.75pt;width:62pt;z-index:251695104;mso-width-relative:page;mso-height-relative:page;" filled="f" stroked="f" coordsize="21600,21600" o:gfxdata="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IDiNoAAAAJAQAADwAAAAAAAAABACAAAAAiAAAAZHJzL2Rvd25yZXYueG1sUEsBAhQAFAAAAAgA&#10;h07iQLgXyFTqAQAA2gMAAA4AAAAAAAAAAQAgAAAAKQEAAGRycy9lMm9Eb2MueG1sUEsFBgAAAAAG&#10;AAYAWQEAAIUFAAAAAA==&#10;">
                      <v:fill on="f" focussize="0,0"/>
                      <v:stroke on="f" joinstyle="miter"/>
                      <v:imagedata o:title=""/>
                      <o:lock v:ext="edit" aspectratio="f"/>
                      <v:textbox>
                        <w:txbxContent>
                          <w:p>
                            <w:pPr>
                              <w:jc w:val="center"/>
                            </w:pPr>
                            <w:r>
                              <w:rPr>
                                <w:rFonts w:hint="eastAsia"/>
                              </w:rPr>
                              <w:t>收集粉尘</w:t>
                            </w:r>
                          </w:p>
                        </w:txbxContent>
                      </v:textbox>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3526790</wp:posOffset>
                      </wp:positionH>
                      <wp:positionV relativeFrom="paragraph">
                        <wp:posOffset>266065</wp:posOffset>
                      </wp:positionV>
                      <wp:extent cx="464185" cy="1270"/>
                      <wp:effectExtent l="0" t="48260" r="12065" b="64770"/>
                      <wp:wrapNone/>
                      <wp:docPr id="140" name="直接连接符 140"/>
                      <wp:cNvGraphicFramePr/>
                      <a:graphic xmlns:a="http://schemas.openxmlformats.org/drawingml/2006/main">
                        <a:graphicData uri="http://schemas.microsoft.com/office/word/2010/wordprocessingShape">
                          <wps:wsp>
                            <wps:cNvCnPr/>
                            <wps:spPr>
                              <a:xfrm flipH="1">
                                <a:off x="0" y="0"/>
                                <a:ext cx="464185"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margin-left:277.7pt;margin-top:20.95pt;height:0.1pt;width:36.55pt;z-index:251694080;mso-width-relative:page;mso-height-relative:page;" filled="f" stroked="t" coordsize="21600,21600" o:gfxdata="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cRhsdgAAAAJAQAADwAAAAAAAAABACAAAAAiAAAAZHJzL2Rvd25y&#10;ZXYueG1sUEsBAhQAFAAAAAgAh07iQA1BtJn+AQAA6QMAAA4AAAAAAAAAAQAgAAAAJwEAAGRycy9l&#10;Mm9Eb2MueG1sUEsFBgAAAAAGAAYAWQEAAJc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3522980</wp:posOffset>
                      </wp:positionH>
                      <wp:positionV relativeFrom="paragraph">
                        <wp:posOffset>101600</wp:posOffset>
                      </wp:positionV>
                      <wp:extent cx="464185" cy="1270"/>
                      <wp:effectExtent l="0" t="48260" r="12065" b="64770"/>
                      <wp:wrapNone/>
                      <wp:docPr id="134" name="直接连接符 134"/>
                      <wp:cNvGraphicFramePr/>
                      <a:graphic xmlns:a="http://schemas.openxmlformats.org/drawingml/2006/main">
                        <a:graphicData uri="http://schemas.microsoft.com/office/word/2010/wordprocessingShape">
                          <wps:wsp>
                            <wps:cNvCnPr/>
                            <wps:spPr>
                              <a:xfrm flipH="1">
                                <a:off x="0" y="0"/>
                                <a:ext cx="464185"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margin-left:277.4pt;margin-top:8pt;height:0.1pt;width:36.55pt;z-index:251689984;mso-width-relative:page;mso-height-relative:page;" filled="f" stroked="t" coordsize="21600,21600" o:gfxdata="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iIQP3XAAAACQEAAA8AAAAAAAAAAQAgAAAAIgAAAGRycy9kb3du&#10;cmV2LnhtbFBLAQIUABQAAAAIAIdO4kCTjDRVAAIAAOkDAAAOAAAAAAAAAAEAIAAAACYBAABkcnMv&#10;ZTJvRG9jLnhtbFBLBQYAAAAABgAGAFkBAACY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2470785</wp:posOffset>
                      </wp:positionH>
                      <wp:positionV relativeFrom="paragraph">
                        <wp:posOffset>31115</wp:posOffset>
                      </wp:positionV>
                      <wp:extent cx="1046480" cy="300990"/>
                      <wp:effectExtent l="5080" t="5080" r="15240" b="17780"/>
                      <wp:wrapNone/>
                      <wp:docPr id="117" name="矩形 117"/>
                      <wp:cNvGraphicFramePr/>
                      <a:graphic xmlns:a="http://schemas.openxmlformats.org/drawingml/2006/main">
                        <a:graphicData uri="http://schemas.microsoft.com/office/word/2010/wordprocessingShape">
                          <wps:wsp>
                            <wps:cNvSpPr/>
                            <wps:spPr>
                              <a:xfrm>
                                <a:off x="0" y="0"/>
                                <a:ext cx="104648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搅拌机</w:t>
                                  </w:r>
                                </w:p>
                              </w:txbxContent>
                            </wps:txbx>
                            <wps:bodyPr upright="1"/>
                          </wps:wsp>
                        </a:graphicData>
                      </a:graphic>
                    </wp:anchor>
                  </w:drawing>
                </mc:Choice>
                <mc:Fallback>
                  <w:pict>
                    <v:rect id="_x0000_s1026" o:spid="_x0000_s1026" o:spt="1" style="position:absolute;left:0pt;margin-left:194.55pt;margin-top:2.45pt;height:23.7pt;width:82.4pt;z-index:251680768;mso-width-relative:page;mso-height-relative:page;" fillcolor="#FFFFFF" filled="t" stroked="t" coordsize="21600,21600" o:gfxdata="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&#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F6ZfbWAAAACAEAAA8AAAAAAAAAAQAgAAAAIgAAAGRy&#10;cy9kb3ducmV2LnhtbFBLAQIUABQAAAAIAIdO4kAxBLSPBwIAAC0EAAAOAAAAAAAAAAEAIAAAACUB&#10;AABkcnMvZTJvRG9jLnhtbFBLBQYAAAAABgAGAFkBAACeBQAAAAA=&#10;">
                      <v:fill on="t" focussize="0,0"/>
                      <v:stroke color="#000000" joinstyle="miter"/>
                      <v:imagedata o:title=""/>
                      <o:lock v:ext="edit" aspectratio="f"/>
                      <v:textbox>
                        <w:txbxContent>
                          <w:p>
                            <w:pPr>
                              <w:jc w:val="center"/>
                            </w:pPr>
                            <w:r>
                              <w:rPr>
                                <w:rFonts w:hint="eastAsia"/>
                              </w:rPr>
                              <w:t>搅拌机</w:t>
                            </w:r>
                          </w:p>
                        </w:txbxContent>
                      </v:textbox>
                    </v:rect>
                  </w:pict>
                </mc:Fallback>
              </mc:AlternateContent>
            </w:r>
          </w:p>
          <w:p>
            <w:pPr>
              <w:spacing w:line="500" w:lineRule="exact"/>
              <w:ind w:firstLine="482"/>
              <w:rPr>
                <w:sz w:val="24"/>
              </w:rPr>
            </w:pPr>
            <w:r>
              <mc:AlternateContent>
                <mc:Choice Requires="wps">
                  <w:drawing>
                    <wp:anchor distT="0" distB="0" distL="114300" distR="114300" simplePos="0" relativeHeight="251681792" behindDoc="0" locked="0" layoutInCell="1" allowOverlap="1">
                      <wp:simplePos x="0" y="0"/>
                      <wp:positionH relativeFrom="column">
                        <wp:posOffset>3011170</wp:posOffset>
                      </wp:positionH>
                      <wp:positionV relativeFrom="paragraph">
                        <wp:posOffset>11430</wp:posOffset>
                      </wp:positionV>
                      <wp:extent cx="635" cy="410210"/>
                      <wp:effectExtent l="48895" t="0" r="64770" b="8890"/>
                      <wp:wrapNone/>
                      <wp:docPr id="118" name="直接连接符 118"/>
                      <wp:cNvGraphicFramePr/>
                      <a:graphic xmlns:a="http://schemas.openxmlformats.org/drawingml/2006/main">
                        <a:graphicData uri="http://schemas.microsoft.com/office/word/2010/wordprocessingShape">
                          <wps:wsp>
                            <wps:cNvCnPr/>
                            <wps:spPr>
                              <a:xfrm>
                                <a:off x="0" y="0"/>
                                <a:ext cx="635" cy="41021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37.1pt;margin-top:0.9pt;height:32.3pt;width:0.05pt;z-index:251681792;mso-width-relative:page;mso-height-relative:page;" filled="f" stroked="t" coordsize="21600,21600" o:gfxdata="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Hkew1gAAAAgBAAAPAAAAAAAAAAEAIAAAACIAAABkcnMvZG93bnJldi54bWxQSwEC&#10;FAAUAAAACACHTuJAmDRnXPYBAADeAwAADgAAAAAAAAABACAAAAAlAQAAZHJzL2Uyb0RvYy54bWxQ&#10;SwUGAAAAAAYABgBZAQAAjQUAAAAA&#10;">
                      <v:fill on="f" focussize="0,0"/>
                      <v:stroke color="#000000" joinstyle="round" endarrow="open"/>
                      <v:imagedata o:title=""/>
                      <o:lock v:ext="edit" aspectratio="f"/>
                    </v:line>
                  </w:pict>
                </mc:Fallback>
              </mc:AlternateContent>
            </w:r>
          </w:p>
          <w:p>
            <w:pPr>
              <w:widowControl/>
              <w:spacing w:line="500" w:lineRule="exact"/>
              <w:rPr>
                <w:b/>
                <w:sz w:val="24"/>
              </w:rPr>
            </w:pPr>
            <w:r>
              <mc:AlternateContent>
                <mc:Choice Requires="wps">
                  <w:drawing>
                    <wp:anchor distT="0" distB="0" distL="114300" distR="114300" simplePos="0" relativeHeight="251696128" behindDoc="0" locked="0" layoutInCell="1" allowOverlap="1">
                      <wp:simplePos x="0" y="0"/>
                      <wp:positionH relativeFrom="column">
                        <wp:posOffset>1568450</wp:posOffset>
                      </wp:positionH>
                      <wp:positionV relativeFrom="paragraph">
                        <wp:posOffset>109855</wp:posOffset>
                      </wp:positionV>
                      <wp:extent cx="477520" cy="263525"/>
                      <wp:effectExtent l="0" t="0" r="17780" b="3175"/>
                      <wp:wrapNone/>
                      <wp:docPr id="142" name="矩形 142"/>
                      <wp:cNvGraphicFramePr/>
                      <a:graphic xmlns:a="http://schemas.openxmlformats.org/drawingml/2006/main">
                        <a:graphicData uri="http://schemas.microsoft.com/office/word/2010/wordprocessingShape">
                          <wps:wsp>
                            <wps:cNvSpPr/>
                            <wps:spPr>
                              <a:xfrm>
                                <a:off x="0" y="0"/>
                                <a:ext cx="477520" cy="263525"/>
                              </a:xfrm>
                              <a:prstGeom prst="rect">
                                <a:avLst/>
                              </a:prstGeom>
                              <a:solidFill>
                                <a:srgbClr val="FFFFFF"/>
                              </a:solidFill>
                              <a:ln w="9525" cap="flat" cmpd="sng">
                                <a:noFill/>
                                <a:prstDash val="solid"/>
                                <a:miter/>
                                <a:headEnd type="none" w="med" len="med"/>
                                <a:tailEnd type="none" w="med" len="med"/>
                              </a:ln>
                            </wps:spPr>
                            <wps:txbx>
                              <w:txbxContent>
                                <w:p>
                                  <w:pPr>
                                    <w:jc w:val="center"/>
                                  </w:pPr>
                                  <w:r>
                                    <w:rPr>
                                      <w:rFonts w:hint="eastAsia"/>
                                    </w:rPr>
                                    <w:t>噪声</w:t>
                                  </w:r>
                                </w:p>
                              </w:txbxContent>
                            </wps:txbx>
                            <wps:bodyPr upright="1"/>
                          </wps:wsp>
                        </a:graphicData>
                      </a:graphic>
                    </wp:anchor>
                  </w:drawing>
                </mc:Choice>
                <mc:Fallback>
                  <w:pict>
                    <v:rect id="_x0000_s1026" o:spid="_x0000_s1026" o:spt="1" style="position:absolute;left:0pt;margin-left:123.5pt;margin-top:8.65pt;height:20.75pt;width:37.6pt;z-index:251696128;mso-width-relative:page;mso-height-relative:page;" fillcolor="#FFFFFF" filled="t" stroked="f" coordsize="21600,21600" o:gfxdata="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M1RtnXAAAACQEAAA8AAAAAAAAAAQAgAAAAIgAAAGRycy9kb3ducmV2&#10;LnhtbFBLAQIUABQAAAAIAIdO4kBTtWCT/QEAAAMEAAAOAAAAAAAAAAEAIAAAACYBAABkcnMvZTJv&#10;RG9jLnhtbFBLBQYAAAAABgAGAFkBAACVBQAAAAA=&#10;">
                      <v:fill on="t" focussize="0,0"/>
                      <v:stroke on="f" joinstyle="miter"/>
                      <v:imagedata o:title=""/>
                      <o:lock v:ext="edit" aspectratio="f"/>
                      <v:textbox>
                        <w:txbxContent>
                          <w:p>
                            <w:pPr>
                              <w:jc w:val="center"/>
                            </w:pPr>
                            <w:r>
                              <w:rPr>
                                <w:rFonts w:hint="eastAsia"/>
                              </w:rPr>
                              <w:t>噪声</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2018030</wp:posOffset>
                      </wp:positionH>
                      <wp:positionV relativeFrom="paragraph">
                        <wp:posOffset>247650</wp:posOffset>
                      </wp:positionV>
                      <wp:extent cx="464185" cy="1270"/>
                      <wp:effectExtent l="0" t="48260" r="12065" b="64770"/>
                      <wp:wrapNone/>
                      <wp:docPr id="143" name="直接连接符 143"/>
                      <wp:cNvGraphicFramePr/>
                      <a:graphic xmlns:a="http://schemas.openxmlformats.org/drawingml/2006/main">
                        <a:graphicData uri="http://schemas.microsoft.com/office/word/2010/wordprocessingShape">
                          <wps:wsp>
                            <wps:cNvCnPr/>
                            <wps:spPr>
                              <a:xfrm flipH="1">
                                <a:off x="0" y="0"/>
                                <a:ext cx="464185"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margin-left:158.9pt;margin-top:19.5pt;height:0.1pt;width:36.55pt;z-index:251697152;mso-width-relative:page;mso-height-relative:page;" filled="f" stroked="t" coordsize="21600,21600" o:gfxdata="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tkqONYAAAAJAQAADwAAAAAAAAABACAAAAAiAAAAZHJzL2Rvd25y&#10;ZXYueG1sUEsBAhQAFAAAAAgAh07iQNZfa9EAAgAA6QMAAA4AAAAAAAAAAQAgAAAAJQEAAGRycy9l&#10;Mm9Eb2MueG1sUEsFBgAAAAAGAAYAWQEAAJc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2485390</wp:posOffset>
                      </wp:positionH>
                      <wp:positionV relativeFrom="paragraph">
                        <wp:posOffset>102235</wp:posOffset>
                      </wp:positionV>
                      <wp:extent cx="1046480" cy="300990"/>
                      <wp:effectExtent l="5080" t="5080" r="15240" b="17780"/>
                      <wp:wrapNone/>
                      <wp:docPr id="119" name="矩形 119"/>
                      <wp:cNvGraphicFramePr/>
                      <a:graphic xmlns:a="http://schemas.openxmlformats.org/drawingml/2006/main">
                        <a:graphicData uri="http://schemas.microsoft.com/office/word/2010/wordprocessingShape">
                          <wps:wsp>
                            <wps:cNvSpPr/>
                            <wps:spPr>
                              <a:xfrm>
                                <a:off x="0" y="0"/>
                                <a:ext cx="104648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成型</w:t>
                                  </w:r>
                                </w:p>
                              </w:txbxContent>
                            </wps:txbx>
                            <wps:bodyPr upright="1"/>
                          </wps:wsp>
                        </a:graphicData>
                      </a:graphic>
                    </wp:anchor>
                  </w:drawing>
                </mc:Choice>
                <mc:Fallback>
                  <w:pict>
                    <v:rect id="_x0000_s1026" o:spid="_x0000_s1026" o:spt="1" style="position:absolute;left:0pt;margin-left:195.7pt;margin-top:8.05pt;height:23.7pt;width:82.4pt;z-index:251682816;mso-width-relative:page;mso-height-relative:page;" fillcolor="#FFFFFF" filled="t" stroked="t" coordsize="21600,21600" o:gfxdata="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&#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mPQT2AAAAAkBAAAPAAAAAAAAAAEAIAAAACIAAABk&#10;cnMvZG93bnJldi54bWxQSwECFAAUAAAACACHTuJAPW3RmQYCAAAtBAAADgAAAAAAAAABACAAAAAn&#10;AQAAZHJzL2Uyb0RvYy54bWxQSwUGAAAAAAYABgBZAQAAnwUAAAAA&#10;">
                      <v:fill on="t" focussize="0,0"/>
                      <v:stroke color="#000000" joinstyle="miter"/>
                      <v:imagedata o:title=""/>
                      <o:lock v:ext="edit" aspectratio="f"/>
                      <v:textbox>
                        <w:txbxContent>
                          <w:p>
                            <w:pPr>
                              <w:jc w:val="center"/>
                            </w:pPr>
                            <w:r>
                              <w:rPr>
                                <w:rFonts w:hint="eastAsia"/>
                              </w:rPr>
                              <w:t>成型</w:t>
                            </w:r>
                          </w:p>
                        </w:txbxContent>
                      </v:textbox>
                    </v:rect>
                  </w:pict>
                </mc:Fallback>
              </mc:AlternateContent>
            </w:r>
            <w:r>
              <w:rPr>
                <w:b/>
                <w:sz w:val="24"/>
              </w:rPr>
              <w:t xml:space="preserve">                             </w:t>
            </w:r>
          </w:p>
          <w:p>
            <w:pPr>
              <w:widowControl/>
              <w:spacing w:line="500" w:lineRule="exact"/>
              <w:jc w:val="center"/>
              <w:rPr>
                <w:b/>
                <w:sz w:val="24"/>
              </w:rPr>
            </w:pPr>
            <w:r>
              <mc:AlternateContent>
                <mc:Choice Requires="wps">
                  <w:drawing>
                    <wp:anchor distT="0" distB="0" distL="114300" distR="114300" simplePos="0" relativeHeight="251683840" behindDoc="0" locked="0" layoutInCell="1" allowOverlap="1">
                      <wp:simplePos x="0" y="0"/>
                      <wp:positionH relativeFrom="column">
                        <wp:posOffset>3032760</wp:posOffset>
                      </wp:positionH>
                      <wp:positionV relativeFrom="paragraph">
                        <wp:posOffset>93980</wp:posOffset>
                      </wp:positionV>
                      <wp:extent cx="635" cy="410210"/>
                      <wp:effectExtent l="48895" t="0" r="64770" b="8890"/>
                      <wp:wrapNone/>
                      <wp:docPr id="120" name="直接连接符 120"/>
                      <wp:cNvGraphicFramePr/>
                      <a:graphic xmlns:a="http://schemas.openxmlformats.org/drawingml/2006/main">
                        <a:graphicData uri="http://schemas.microsoft.com/office/word/2010/wordprocessingShape">
                          <wps:wsp>
                            <wps:cNvCnPr/>
                            <wps:spPr>
                              <a:xfrm>
                                <a:off x="0" y="0"/>
                                <a:ext cx="635" cy="41021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38.8pt;margin-top:7.4pt;height:32.3pt;width:0.05pt;z-index:251683840;mso-width-relative:page;mso-height-relative:page;" filled="f" stroked="t" coordsize="21600,21600" o:gfxdata="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WU6rtgAAAAJAQAADwAAAAAAAAABACAAAAAiAAAAZHJzL2Rvd25yZXYueG1sUEsB&#10;AhQAFAAAAAgAh07iQAD6Voj1AQAA3gMAAA4AAAAAAAAAAQAgAAAAJwEAAGRycy9lMm9Eb2MueG1s&#10;UEsFBgAAAAAGAAYAWQEAAI4FAAAAAA==&#10;">
                      <v:fill on="f" focussize="0,0"/>
                      <v:stroke color="#000000" joinstyle="round" endarrow="open"/>
                      <v:imagedata o:title=""/>
                      <o:lock v:ext="edit" aspectratio="f"/>
                    </v:line>
                  </w:pict>
                </mc:Fallback>
              </mc:AlternateContent>
            </w:r>
          </w:p>
          <w:p>
            <w:pPr>
              <w:widowControl/>
              <w:spacing w:line="500" w:lineRule="exact"/>
              <w:jc w:val="center"/>
              <w:rPr>
                <w:b/>
                <w:sz w:val="24"/>
              </w:rPr>
            </w:pPr>
            <w:r>
              <mc:AlternateContent>
                <mc:Choice Requires="wps">
                  <w:drawing>
                    <wp:anchor distT="0" distB="0" distL="114300" distR="114300" simplePos="0" relativeHeight="251668480" behindDoc="0" locked="0" layoutInCell="1" allowOverlap="1">
                      <wp:simplePos x="0" y="0"/>
                      <wp:positionH relativeFrom="column">
                        <wp:posOffset>2508250</wp:posOffset>
                      </wp:positionH>
                      <wp:positionV relativeFrom="paragraph">
                        <wp:posOffset>194945</wp:posOffset>
                      </wp:positionV>
                      <wp:extent cx="1034415" cy="300990"/>
                      <wp:effectExtent l="5080" t="5080" r="8255" b="17780"/>
                      <wp:wrapNone/>
                      <wp:docPr id="154" name="矩形 154"/>
                      <wp:cNvGraphicFramePr/>
                      <a:graphic xmlns:a="http://schemas.openxmlformats.org/drawingml/2006/main">
                        <a:graphicData uri="http://schemas.microsoft.com/office/word/2010/wordprocessingShape">
                          <wps:wsp>
                            <wps:cNvSpPr/>
                            <wps:spPr>
                              <a:xfrm>
                                <a:off x="0" y="0"/>
                                <a:ext cx="103441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晾干</w:t>
                                  </w:r>
                                </w:p>
                              </w:txbxContent>
                            </wps:txbx>
                            <wps:bodyPr upright="1"/>
                          </wps:wsp>
                        </a:graphicData>
                      </a:graphic>
                    </wp:anchor>
                  </w:drawing>
                </mc:Choice>
                <mc:Fallback>
                  <w:pict>
                    <v:rect id="_x0000_s1026" o:spid="_x0000_s1026" o:spt="1" style="position:absolute;left:0pt;margin-left:197.5pt;margin-top:15.35pt;height:23.7pt;width:81.45pt;z-index:251668480;mso-width-relative:page;mso-height-relative:page;" fillcolor="#FFFFFF" filled="t" stroked="t" coordsize="21600,21600" o:gfxdata="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&#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K1ntHYAAAACQEAAA8AAAAAAAAAAQAgAAAAIgAAAGRy&#10;cy9kb3ducmV2LnhtbFBLAQIUABQAAAAIAIdO4kBtZcScBQIAAC0EAAAOAAAAAAAAAAEAIAAAACcB&#10;AABkcnMvZTJvRG9jLnhtbFBLBQYAAAAABgAGAFkBAACeBQAAAAA=&#10;">
                      <v:fill on="t" focussize="0,0"/>
                      <v:stroke color="#000000" joinstyle="miter"/>
                      <v:imagedata o:title=""/>
                      <o:lock v:ext="edit" aspectratio="f"/>
                      <v:textbox>
                        <w:txbxContent>
                          <w:p>
                            <w:pPr>
                              <w:jc w:val="center"/>
                            </w:pPr>
                            <w:r>
                              <w:rPr>
                                <w:rFonts w:hint="eastAsia"/>
                              </w:rPr>
                              <w:t>晾干</w:t>
                            </w:r>
                          </w:p>
                        </w:txbxContent>
                      </v:textbox>
                    </v:rect>
                  </w:pict>
                </mc:Fallback>
              </mc:AlternateContent>
            </w:r>
          </w:p>
          <w:p>
            <w:pPr>
              <w:widowControl/>
              <w:spacing w:line="500" w:lineRule="exact"/>
              <w:jc w:val="center"/>
              <w:rPr>
                <w:b/>
                <w:sz w:val="24"/>
              </w:rPr>
            </w:pPr>
            <w:r>
              <mc:AlternateContent>
                <mc:Choice Requires="wps">
                  <w:drawing>
                    <wp:anchor distT="0" distB="0" distL="114300" distR="114300" simplePos="0" relativeHeight="251684864" behindDoc="0" locked="0" layoutInCell="1" allowOverlap="1">
                      <wp:simplePos x="0" y="0"/>
                      <wp:positionH relativeFrom="column">
                        <wp:posOffset>3054350</wp:posOffset>
                      </wp:positionH>
                      <wp:positionV relativeFrom="paragraph">
                        <wp:posOffset>188595</wp:posOffset>
                      </wp:positionV>
                      <wp:extent cx="635" cy="410210"/>
                      <wp:effectExtent l="48895" t="0" r="64770" b="8890"/>
                      <wp:wrapNone/>
                      <wp:docPr id="121" name="直接连接符 121"/>
                      <wp:cNvGraphicFramePr/>
                      <a:graphic xmlns:a="http://schemas.openxmlformats.org/drawingml/2006/main">
                        <a:graphicData uri="http://schemas.microsoft.com/office/word/2010/wordprocessingShape">
                          <wps:wsp>
                            <wps:cNvCnPr/>
                            <wps:spPr>
                              <a:xfrm>
                                <a:off x="0" y="0"/>
                                <a:ext cx="635" cy="41021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40.5pt;margin-top:14.85pt;height:32.3pt;width:0.05pt;z-index:251684864;mso-width-relative:page;mso-height-relative:page;" filled="f" stroked="t" coordsize="21600,21600" o:gfxdata="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339WNoAAAAJAQAADwAAAAAAAAABACAAAAAiAAAAZHJzL2Rvd25yZXYueG1s&#10;UEsBAhQAFAAAAAgAh07iQOmWlL/2AQAA3gMAAA4AAAAAAAAAAQAgAAAAKQEAAGRycy9lMm9Eb2Mu&#10;eG1sUEsFBgAAAAAGAAYAWQEAAJEFAAAAAA==&#10;">
                      <v:fill on="f" focussize="0,0"/>
                      <v:stroke color="#000000" joinstyle="round" endarrow="open"/>
                      <v:imagedata o:title=""/>
                      <o:lock v:ext="edit" aspectratio="f"/>
                    </v:line>
                  </w:pict>
                </mc:Fallback>
              </mc:AlternateContent>
            </w:r>
          </w:p>
          <w:p>
            <w:pPr>
              <w:pStyle w:val="31"/>
              <w:ind w:firstLine="420"/>
              <w:rPr>
                <w:b/>
                <w:sz w:val="24"/>
              </w:rPr>
            </w:pPr>
            <w:r>
              <mc:AlternateContent>
                <mc:Choice Requires="wps">
                  <w:drawing>
                    <wp:anchor distT="0" distB="0" distL="114300" distR="114300" simplePos="0" relativeHeight="251685888" behindDoc="0" locked="0" layoutInCell="1" allowOverlap="1">
                      <wp:simplePos x="0" y="0"/>
                      <wp:positionH relativeFrom="column">
                        <wp:posOffset>2505710</wp:posOffset>
                      </wp:positionH>
                      <wp:positionV relativeFrom="paragraph">
                        <wp:posOffset>283845</wp:posOffset>
                      </wp:positionV>
                      <wp:extent cx="1034415" cy="300990"/>
                      <wp:effectExtent l="5080" t="5080" r="8255" b="17780"/>
                      <wp:wrapNone/>
                      <wp:docPr id="123" name="矩形 123"/>
                      <wp:cNvGraphicFramePr/>
                      <a:graphic xmlns:a="http://schemas.openxmlformats.org/drawingml/2006/main">
                        <a:graphicData uri="http://schemas.microsoft.com/office/word/2010/wordprocessingShape">
                          <wps:wsp>
                            <wps:cNvSpPr/>
                            <wps:spPr>
                              <a:xfrm>
                                <a:off x="0" y="0"/>
                                <a:ext cx="103441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包装外售</w:t>
                                  </w:r>
                                </w:p>
                              </w:txbxContent>
                            </wps:txbx>
                            <wps:bodyPr upright="1"/>
                          </wps:wsp>
                        </a:graphicData>
                      </a:graphic>
                    </wp:anchor>
                  </w:drawing>
                </mc:Choice>
                <mc:Fallback>
                  <w:pict>
                    <v:rect id="_x0000_s1026" o:spid="_x0000_s1026" o:spt="1" style="position:absolute;left:0pt;margin-left:197.3pt;margin-top:22.35pt;height:23.7pt;width:81.45pt;z-index:251685888;mso-width-relative:page;mso-height-relative:page;" fillcolor="#FFFFFF" filled="t" stroked="t" coordsize="21600,21600" o:gfxdata="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Lbq0dkAAAAJAQAADwAAAAAAAAABACAAAAAiAAAA&#10;ZHJzL2Rvd25yZXYueG1sUEsBAhQAFAAAAAgAh07iQErFJpMGAgAALQQAAA4AAAAAAAAAAQAgAAAA&#10;KAEAAGRycy9lMm9Eb2MueG1sUEsFBgAAAAAGAAYAWQEAAKAFAAAAAA==&#10;">
                      <v:fill on="t" focussize="0,0"/>
                      <v:stroke color="#000000" joinstyle="miter"/>
                      <v:imagedata o:title=""/>
                      <o:lock v:ext="edit" aspectratio="f"/>
                      <v:textbox>
                        <w:txbxContent>
                          <w:p>
                            <w:pPr>
                              <w:jc w:val="center"/>
                            </w:pPr>
                            <w:r>
                              <w:rPr>
                                <w:rFonts w:hint="eastAsia"/>
                              </w:rPr>
                              <w:t>包装外售</w:t>
                            </w:r>
                          </w:p>
                        </w:txbxContent>
                      </v:textbox>
                    </v:rect>
                  </w:pict>
                </mc:Fallback>
              </mc:AlternateContent>
            </w:r>
          </w:p>
          <w:p/>
          <w:p>
            <w:pPr>
              <w:spacing w:line="480" w:lineRule="exact"/>
              <w:jc w:val="center"/>
              <w:rPr>
                <w:b/>
                <w:bCs/>
                <w:szCs w:val="21"/>
              </w:rPr>
            </w:pPr>
            <w:r>
              <w:rPr>
                <w:rFonts w:hint="eastAsia"/>
                <w:b/>
                <w:bCs/>
                <w:szCs w:val="21"/>
              </w:rPr>
              <w:t>图5-2   本项目型煤生产工艺及产排污环节图</w:t>
            </w:r>
          </w:p>
          <w:p>
            <w:pPr>
              <w:widowControl/>
              <w:spacing w:line="540" w:lineRule="exact"/>
              <w:rPr>
                <w:b/>
                <w:sz w:val="24"/>
              </w:rPr>
            </w:pPr>
            <w:r>
              <w:rPr>
                <w:b/>
                <w:sz w:val="24"/>
              </w:rPr>
              <w:t>工艺流程简述：</w:t>
            </w:r>
          </w:p>
          <w:p>
            <w:pPr>
              <w:spacing w:line="500" w:lineRule="exact"/>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以兰炭末、精煤、粘结剂和固硫剂为原料，经备料、搅拌、成型、晾干、包装等工序生产型煤：1、备料：外购兰炭末和精煤，采用货车运输进厂，粘结剂和固硫剂为袋装粉末，进入厂区原料堆场存储。通过皮带输送至定量给料仓内，输送至破碎机进行破碎。皮带输送机上方设置干粉配料器，粘结剂、固硫剂通过干粉配料器，定量落至皮带输送机，与破碎物料一同进入搅拌机；2、搅拌机密闭设置，箱体装有喷嘴，按要求进行喷水搅拌，物料混合均匀后，送入压球机；3、压球机自动计量后，压制成一定形状、尺寸和强度的型煤；4、成型后运至成品区进行晾晒，包装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3" w:hRule="atLeast"/>
        </w:trPr>
        <w:tc>
          <w:tcPr>
            <w:tcW w:w="5000" w:type="pct"/>
          </w:tcPr>
          <w:p>
            <w:pPr>
              <w:spacing w:before="78" w:beforeLines="25" w:after="156" w:afterLines="50" w:line="480" w:lineRule="exact"/>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主要污染工序：</w:t>
            </w:r>
          </w:p>
          <w:p>
            <w:pPr>
              <w:spacing w:line="500" w:lineRule="exact"/>
              <w:ind w:firstLine="482"/>
              <w:rPr>
                <w:b/>
                <w:sz w:val="24"/>
              </w:rPr>
            </w:pPr>
            <w:r>
              <w:rPr>
                <w:rFonts w:hint="eastAsia"/>
                <w:b/>
                <w:sz w:val="24"/>
              </w:rPr>
              <w:t>一</w:t>
            </w:r>
            <w:r>
              <w:rPr>
                <w:b/>
                <w:sz w:val="24"/>
              </w:rPr>
              <w:t>、施工期污染环节</w:t>
            </w:r>
          </w:p>
          <w:p>
            <w:pPr>
              <w:spacing w:line="480" w:lineRule="exact"/>
              <w:ind w:firstLine="482"/>
              <w:rPr>
                <w:sz w:val="24"/>
              </w:rPr>
            </w:pPr>
            <w:r>
              <w:rPr>
                <w:rFonts w:hint="eastAsia"/>
                <w:sz w:val="24"/>
              </w:rPr>
              <w:t>本项目</w:t>
            </w:r>
            <w:r>
              <w:rPr>
                <w:sz w:val="24"/>
              </w:rPr>
              <w:t>建设规模</w:t>
            </w:r>
            <w:r>
              <w:rPr>
                <w:rFonts w:hint="eastAsia"/>
                <w:sz w:val="24"/>
              </w:rPr>
              <w:t>较小</w:t>
            </w:r>
            <w:r>
              <w:rPr>
                <w:sz w:val="24"/>
              </w:rPr>
              <w:t>，</w:t>
            </w:r>
            <w:r>
              <w:rPr>
                <w:sz w:val="24"/>
                <w:szCs w:val="30"/>
              </w:rPr>
              <w:t>工程施工影响范围主要为厂址邻近区域，施工活动的影响主要为施工废气、废水、固体废物、噪声排放对附近区域自然、生态环境的影响。其中以施工噪声和</w:t>
            </w:r>
            <w:r>
              <w:rPr>
                <w:rFonts w:hint="eastAsia"/>
                <w:sz w:val="24"/>
                <w:szCs w:val="30"/>
              </w:rPr>
              <w:t>施工扬尘</w:t>
            </w:r>
            <w:r>
              <w:rPr>
                <w:sz w:val="24"/>
                <w:szCs w:val="30"/>
              </w:rPr>
              <w:t>对环境的影响比较显著。</w:t>
            </w:r>
          </w:p>
          <w:p>
            <w:pPr>
              <w:pStyle w:val="54"/>
              <w:spacing w:before="0" w:beforeAutospacing="0" w:after="0" w:afterAutospacing="0" w:line="480" w:lineRule="exact"/>
              <w:ind w:firstLine="482" w:firstLineChars="200"/>
              <w:rPr>
                <w:rFonts w:ascii="Times New Roman" w:hAnsi="Times New Roman" w:eastAsia="黑体"/>
                <w:b/>
                <w:bCs/>
                <w:color w:val="000000" w:themeColor="text1"/>
                <w14:textFill>
                  <w14:solidFill>
                    <w14:schemeClr w14:val="tx1"/>
                  </w14:solidFill>
                </w14:textFill>
              </w:rPr>
            </w:pPr>
            <w:r>
              <w:rPr>
                <w:rFonts w:hint="eastAsia" w:ascii="Times New Roman" w:hAnsi="Times New Roman" w:eastAsia="黑体"/>
                <w:b/>
                <w:bCs/>
                <w:color w:val="000000" w:themeColor="text1"/>
                <w14:textFill>
                  <w14:solidFill>
                    <w14:schemeClr w14:val="tx1"/>
                  </w14:solidFill>
                </w14:textFill>
              </w:rPr>
              <w:t>二、</w:t>
            </w:r>
            <w:r>
              <w:rPr>
                <w:rFonts w:hint="eastAsia" w:eastAsia="黑体"/>
                <w:b/>
              </w:rPr>
              <w:t>运营</w:t>
            </w:r>
            <w:r>
              <w:rPr>
                <w:b/>
              </w:rPr>
              <w:t>期污染环节</w:t>
            </w:r>
          </w:p>
          <w:p>
            <w:pPr>
              <w:pStyle w:val="54"/>
              <w:spacing w:before="0" w:beforeAutospacing="0" w:after="0" w:afterAutospacing="0" w:line="480" w:lineRule="exact"/>
              <w:ind w:firstLine="480" w:firstLineChars="200"/>
              <w:rPr>
                <w:rFonts w:ascii="Times New Roman" w:hAnsi="Times New Roman" w:eastAsia="黑体"/>
                <w:bCs/>
                <w:color w:val="000000" w:themeColor="text1"/>
                <w14:textFill>
                  <w14:solidFill>
                    <w14:schemeClr w14:val="tx1"/>
                  </w14:solidFill>
                </w14:textFill>
              </w:rPr>
            </w:pPr>
            <w:r>
              <w:rPr>
                <w:rFonts w:ascii="Times New Roman" w:hAnsi="Times New Roman" w:eastAsia="黑体"/>
                <w:bCs/>
                <w:color w:val="000000" w:themeColor="text1"/>
                <w14:textFill>
                  <w14:solidFill>
                    <w14:schemeClr w14:val="tx1"/>
                  </w14:solidFill>
                </w14:textFill>
              </w:rPr>
              <w:t>1、大气污染源</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（1）原料及成品运输产生的扬尘G1； </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（2）原料破碎产生的粉尘G2。</w:t>
            </w:r>
          </w:p>
          <w:p>
            <w:pPr>
              <w:pStyle w:val="54"/>
              <w:spacing w:before="0" w:beforeAutospacing="0" w:after="0" w:afterAutospacing="0" w:line="480" w:lineRule="exact"/>
              <w:ind w:firstLine="480" w:firstLineChars="200"/>
              <w:rPr>
                <w:rFonts w:ascii="Times New Roman" w:hAnsi="Times New Roman" w:eastAsia="黑体"/>
                <w:bCs/>
                <w:color w:val="000000" w:themeColor="text1"/>
                <w14:textFill>
                  <w14:solidFill>
                    <w14:schemeClr w14:val="tx1"/>
                  </w14:solidFill>
                </w14:textFill>
              </w:rPr>
            </w:pPr>
            <w:r>
              <w:rPr>
                <w:rFonts w:ascii="Times New Roman" w:hAnsi="Times New Roman" w:eastAsia="黑体"/>
                <w:bCs/>
                <w:color w:val="000000" w:themeColor="text1"/>
                <w14:textFill>
                  <w14:solidFill>
                    <w14:schemeClr w14:val="tx1"/>
                  </w14:solidFill>
                </w14:textFill>
              </w:rPr>
              <w:t>2、废水</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工作人员产生的生活污水W</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w:t>
            </w:r>
          </w:p>
          <w:p>
            <w:pPr>
              <w:pStyle w:val="54"/>
              <w:spacing w:before="0" w:beforeAutospacing="0" w:after="0" w:afterAutospacing="0" w:line="480" w:lineRule="exact"/>
              <w:ind w:firstLine="480" w:firstLineChars="200"/>
              <w:rPr>
                <w:rFonts w:ascii="Times New Roman" w:hAnsi="Times New Roman" w:eastAsia="黑体"/>
                <w:bCs/>
                <w:color w:val="000000" w:themeColor="text1"/>
                <w14:textFill>
                  <w14:solidFill>
                    <w14:schemeClr w14:val="tx1"/>
                  </w14:solidFill>
                </w14:textFill>
              </w:rPr>
            </w:pPr>
            <w:r>
              <w:rPr>
                <w:rFonts w:ascii="Times New Roman" w:hAnsi="Times New Roman" w:eastAsia="黑体"/>
                <w:bCs/>
                <w:color w:val="000000" w:themeColor="text1"/>
                <w14:textFill>
                  <w14:solidFill>
                    <w14:schemeClr w14:val="tx1"/>
                  </w14:solidFill>
                </w14:textFill>
              </w:rPr>
              <w:t>3、固废</w:t>
            </w:r>
          </w:p>
          <w:p>
            <w:pPr>
              <w:pStyle w:val="54"/>
              <w:spacing w:before="0" w:beforeAutospacing="0" w:after="0" w:afterAutospacing="0" w:line="48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（1）除尘器收集的尘灰S1。</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（2）职工生活垃圾S2。</w:t>
            </w:r>
          </w:p>
          <w:p>
            <w:pPr>
              <w:pStyle w:val="54"/>
              <w:spacing w:before="0" w:beforeAutospacing="0" w:after="0" w:afterAutospacing="0" w:line="480" w:lineRule="exact"/>
              <w:ind w:firstLine="480" w:firstLineChars="200"/>
              <w:rPr>
                <w:rFonts w:ascii="Times New Roman" w:hAnsi="Times New Roman" w:eastAsia="黑体"/>
                <w:bCs/>
                <w:color w:val="000000" w:themeColor="text1"/>
                <w14:textFill>
                  <w14:solidFill>
                    <w14:schemeClr w14:val="tx1"/>
                  </w14:solidFill>
                </w14:textFill>
              </w:rPr>
            </w:pPr>
            <w:r>
              <w:rPr>
                <w:rFonts w:ascii="Times New Roman" w:hAnsi="Times New Roman" w:eastAsia="黑体"/>
                <w:bCs/>
                <w:color w:val="000000" w:themeColor="text1"/>
                <w14:textFill>
                  <w14:solidFill>
                    <w14:schemeClr w14:val="tx1"/>
                  </w14:solidFill>
                </w14:textFill>
              </w:rPr>
              <w:t>4、噪声</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本建设项目在运行中产生高噪声的设备主要为生产设备产生的噪声。其声压等级为</w:t>
            </w:r>
            <w:r>
              <w:rPr>
                <w:color w:val="000000" w:themeColor="text1"/>
                <w:sz w:val="24"/>
                <w14:textFill>
                  <w14:solidFill>
                    <w14:schemeClr w14:val="tx1"/>
                  </w14:solidFill>
                </w14:textFill>
              </w:rPr>
              <w:t>80—</w:t>
            </w:r>
            <w:r>
              <w:rPr>
                <w:rFonts w:hint="eastAsia"/>
                <w:color w:val="000000" w:themeColor="text1"/>
                <w:sz w:val="24"/>
                <w14:textFill>
                  <w14:solidFill>
                    <w14:schemeClr w14:val="tx1"/>
                  </w14:solidFill>
                </w14:textFill>
              </w:rPr>
              <w:t>100</w:t>
            </w:r>
            <w:r>
              <w:rPr>
                <w:color w:val="000000" w:themeColor="text1"/>
                <w:sz w:val="24"/>
                <w14:textFill>
                  <w14:solidFill>
                    <w14:schemeClr w14:val="tx1"/>
                  </w14:solidFill>
                </w14:textFill>
              </w:rPr>
              <w:t>dB(A)</w:t>
            </w:r>
            <w:r>
              <w:rPr>
                <w:rFonts w:hint="eastAsia"/>
                <w:color w:val="000000" w:themeColor="text1"/>
                <w:sz w:val="24"/>
                <w14:textFill>
                  <w14:solidFill>
                    <w14:schemeClr w14:val="tx1"/>
                  </w14:solidFill>
                </w14:textFill>
              </w:rPr>
              <w:t>。</w:t>
            </w:r>
          </w:p>
          <w:p>
            <w:pPr>
              <w:spacing w:line="480" w:lineRule="exact"/>
              <w:ind w:firstLine="480" w:firstLineChars="200"/>
              <w:jc w:val="left"/>
              <w:rPr>
                <w:color w:val="000000" w:themeColor="text1"/>
                <w:sz w:val="24"/>
                <w14:textFill>
                  <w14:solidFill>
                    <w14:schemeClr w14:val="tx1"/>
                  </w14:solidFill>
                </w14:textFill>
              </w:rPr>
            </w:pPr>
          </w:p>
          <w:p>
            <w:pPr>
              <w:spacing w:line="480" w:lineRule="exact"/>
              <w:ind w:firstLine="480" w:firstLineChars="200"/>
              <w:jc w:val="left"/>
              <w:rPr>
                <w:color w:val="000000" w:themeColor="text1"/>
                <w:sz w:val="24"/>
                <w14:textFill>
                  <w14:solidFill>
                    <w14:schemeClr w14:val="tx1"/>
                  </w14:solidFill>
                </w14:textFill>
              </w:rPr>
            </w:pPr>
          </w:p>
          <w:p>
            <w:pPr>
              <w:spacing w:line="480" w:lineRule="exact"/>
              <w:ind w:firstLine="480" w:firstLineChars="200"/>
              <w:jc w:val="left"/>
              <w:rPr>
                <w:color w:val="000000" w:themeColor="text1"/>
                <w:sz w:val="24"/>
                <w14:textFill>
                  <w14:solidFill>
                    <w14:schemeClr w14:val="tx1"/>
                  </w14:solidFill>
                </w14:textFill>
              </w:rPr>
            </w:pPr>
          </w:p>
          <w:p>
            <w:pPr>
              <w:spacing w:line="480" w:lineRule="exact"/>
              <w:ind w:firstLine="480" w:firstLineChars="200"/>
              <w:jc w:val="left"/>
              <w:rPr>
                <w:color w:val="000000" w:themeColor="text1"/>
                <w:sz w:val="24"/>
                <w14:textFill>
                  <w14:solidFill>
                    <w14:schemeClr w14:val="tx1"/>
                  </w14:solidFill>
                </w14:textFill>
              </w:rPr>
            </w:pPr>
          </w:p>
          <w:p>
            <w:pPr>
              <w:spacing w:line="480" w:lineRule="exact"/>
              <w:ind w:firstLine="560" w:firstLineChars="200"/>
              <w:jc w:val="left"/>
              <w:rPr>
                <w:color w:val="000000" w:themeColor="text1"/>
                <w:sz w:val="28"/>
                <w:szCs w:val="28"/>
                <w14:textFill>
                  <w14:solidFill>
                    <w14:schemeClr w14:val="tx1"/>
                  </w14:solidFill>
                </w14:textFill>
              </w:rPr>
            </w:pPr>
          </w:p>
        </w:tc>
      </w:tr>
    </w:tbl>
    <w:p>
      <w:pPr>
        <w:spacing w:line="480" w:lineRule="exact"/>
        <w:rPr>
          <w:rFonts w:eastAsia="黑体"/>
          <w:bCs/>
          <w:color w:val="000000" w:themeColor="text1"/>
          <w:sz w:val="32"/>
          <w:szCs w:val="32"/>
          <w14:textFill>
            <w14:solidFill>
              <w14:schemeClr w14:val="tx1"/>
            </w14:solidFill>
          </w14:textFill>
        </w:rPr>
        <w:sectPr>
          <w:pgSz w:w="11906" w:h="16838"/>
          <w:pgMar w:top="1418" w:right="1440" w:bottom="1418" w:left="1440" w:header="851" w:footer="992" w:gutter="0"/>
          <w:cols w:space="425" w:num="1"/>
          <w:docGrid w:type="lines" w:linePitch="312" w:charSpace="0"/>
        </w:sectPr>
      </w:pPr>
    </w:p>
    <w:p>
      <w:pPr>
        <w:spacing w:line="480" w:lineRule="exact"/>
        <w:outlineLvl w:val="0"/>
        <w:rPr>
          <w:color w:val="000000" w:themeColor="text1"/>
          <w:sz w:val="24"/>
          <w14:textFill>
            <w14:solidFill>
              <w14:schemeClr w14:val="tx1"/>
            </w14:solidFill>
          </w14:textFill>
        </w:rPr>
      </w:pPr>
      <w:r>
        <w:rPr>
          <w:rFonts w:eastAsia="黑体"/>
          <w:bCs/>
          <w:color w:val="000000" w:themeColor="text1"/>
          <w:sz w:val="32"/>
          <w:szCs w:val="32"/>
          <w14:textFill>
            <w14:solidFill>
              <w14:schemeClr w14:val="tx1"/>
            </w14:solidFill>
          </w14:textFill>
        </w:rPr>
        <w:t>项目主要污染物产生及预计排放情况</w:t>
      </w:r>
    </w:p>
    <w:tbl>
      <w:tblPr>
        <w:tblStyle w:val="32"/>
        <w:tblW w:w="508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0" w:type="dxa"/>
          <w:bottom w:w="0" w:type="dxa"/>
          <w:right w:w="0" w:type="dxa"/>
        </w:tblCellMar>
      </w:tblPr>
      <w:tblGrid>
        <w:gridCol w:w="1015"/>
        <w:gridCol w:w="1761"/>
        <w:gridCol w:w="1316"/>
        <w:gridCol w:w="1082"/>
        <w:gridCol w:w="1141"/>
        <w:gridCol w:w="1572"/>
        <w:gridCol w:w="13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restart"/>
            <w:tcBorders>
              <w:top w:val="single" w:color="auto" w:sz="12" w:space="0"/>
              <w:left w:val="single" w:color="auto" w:sz="12" w:space="0"/>
              <w:bottom w:val="single" w:color="auto" w:sz="4" w:space="0"/>
              <w:right w:val="single" w:color="auto" w:sz="4" w:space="0"/>
              <w:tl2br w:val="single" w:color="auto" w:sz="4" w:space="0"/>
            </w:tcBorders>
            <w:vAlign w:val="center"/>
          </w:tcPr>
          <w:p>
            <w:pPr>
              <w:jc w:val="righ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内容</w:t>
            </w:r>
          </w:p>
          <w:p>
            <w:pPr>
              <w:jc w:val="left"/>
              <w:rPr>
                <w:rFonts w:eastAsia="黑体"/>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类型</w:t>
            </w:r>
          </w:p>
        </w:tc>
        <w:tc>
          <w:tcPr>
            <w:tcW w:w="957" w:type="pct"/>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排放源</w:t>
            </w:r>
          </w:p>
        </w:tc>
        <w:tc>
          <w:tcPr>
            <w:tcW w:w="715" w:type="pct"/>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w:t>
            </w:r>
          </w:p>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w:t>
            </w:r>
          </w:p>
        </w:tc>
        <w:tc>
          <w:tcPr>
            <w:tcW w:w="1208" w:type="pct"/>
            <w:gridSpan w:val="2"/>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处理前排放情况</w:t>
            </w:r>
          </w:p>
        </w:tc>
        <w:tc>
          <w:tcPr>
            <w:tcW w:w="1565" w:type="pct"/>
            <w:gridSpan w:val="2"/>
            <w:tcBorders>
              <w:top w:val="single" w:color="auto" w:sz="12" w:space="0"/>
              <w:left w:val="single" w:color="auto" w:sz="4" w:space="0"/>
              <w:bottom w:val="single" w:color="auto" w:sz="4" w:space="0"/>
              <w:right w:val="single" w:color="auto" w:sz="12" w:space="0"/>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处理后排放情况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continue"/>
            <w:tcBorders>
              <w:top w:val="single" w:color="auto" w:sz="4" w:space="0"/>
              <w:left w:val="single" w:color="auto" w:sz="12" w:space="0"/>
              <w:bottom w:val="single" w:color="000000" w:sz="4" w:space="0"/>
              <w:right w:val="single" w:color="auto" w:sz="4" w:space="0"/>
              <w:tl2br w:val="single" w:color="auto" w:sz="4" w:space="0"/>
            </w:tcBorders>
            <w:vAlign w:val="center"/>
          </w:tcPr>
          <w:p>
            <w:pPr>
              <w:jc w:val="right"/>
              <w:rPr>
                <w:b/>
                <w:bCs/>
                <w:color w:val="000000" w:themeColor="text1"/>
                <w:szCs w:val="21"/>
                <w14:textFill>
                  <w14:solidFill>
                    <w14:schemeClr w14:val="tx1"/>
                  </w14:solidFill>
                </w14:textFill>
              </w:rPr>
            </w:pPr>
          </w:p>
        </w:tc>
        <w:tc>
          <w:tcPr>
            <w:tcW w:w="957" w:type="pct"/>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p>
        </w:tc>
        <w:tc>
          <w:tcPr>
            <w:tcW w:w="715" w:type="pct"/>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p>
        </w:tc>
        <w:tc>
          <w:tcPr>
            <w:tcW w:w="5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产生浓度</w:t>
            </w:r>
            <w:r>
              <w:rPr>
                <w:rFonts w:eastAsia="黑体"/>
                <w:color w:val="000000" w:themeColor="text1"/>
                <w:szCs w:val="21"/>
                <w14:textFill>
                  <w14:solidFill>
                    <w14:schemeClr w14:val="tx1"/>
                  </w14:solidFill>
                </w14:textFill>
              </w:rPr>
              <w:t>(mg/Nm</w:t>
            </w:r>
            <w:r>
              <w:rPr>
                <w:rFonts w:eastAsia="黑体"/>
                <w:color w:val="000000" w:themeColor="text1"/>
                <w:szCs w:val="21"/>
                <w:vertAlign w:val="superscript"/>
                <w14:textFill>
                  <w14:solidFill>
                    <w14:schemeClr w14:val="tx1"/>
                  </w14:solidFill>
                </w14:textFill>
              </w:rPr>
              <w:t>3</w:t>
            </w:r>
            <w:r>
              <w:rPr>
                <w:rFonts w:eastAsia="黑体"/>
                <w:color w:val="000000" w:themeColor="text1"/>
                <w:szCs w:val="21"/>
                <w14:textFill>
                  <w14:solidFill>
                    <w14:schemeClr w14:val="tx1"/>
                  </w14:solidFill>
                </w14:textFill>
              </w:rPr>
              <w:t>)</w:t>
            </w:r>
          </w:p>
        </w:tc>
        <w:tc>
          <w:tcPr>
            <w:tcW w:w="61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产生量</w:t>
            </w:r>
            <w:r>
              <w:rPr>
                <w:rFonts w:eastAsia="黑体"/>
                <w:color w:val="000000" w:themeColor="text1"/>
                <w:szCs w:val="21"/>
                <w14:textFill>
                  <w14:solidFill>
                    <w14:schemeClr w14:val="tx1"/>
                  </w14:solidFill>
                </w14:textFill>
              </w:rPr>
              <w:t>（t/a）</w:t>
            </w:r>
          </w:p>
        </w:tc>
        <w:tc>
          <w:tcPr>
            <w:tcW w:w="85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排放浓度</w:t>
            </w:r>
            <w:r>
              <w:rPr>
                <w:rFonts w:eastAsia="黑体"/>
                <w:color w:val="000000" w:themeColor="text1"/>
                <w:szCs w:val="21"/>
                <w14:textFill>
                  <w14:solidFill>
                    <w14:schemeClr w14:val="tx1"/>
                  </w14:solidFill>
                </w14:textFill>
              </w:rPr>
              <w:t>(mg/Nm</w:t>
            </w:r>
            <w:r>
              <w:rPr>
                <w:rFonts w:eastAsia="黑体"/>
                <w:color w:val="000000" w:themeColor="text1"/>
                <w:szCs w:val="21"/>
                <w:vertAlign w:val="superscript"/>
                <w14:textFill>
                  <w14:solidFill>
                    <w14:schemeClr w14:val="tx1"/>
                  </w14:solidFill>
                </w14:textFill>
              </w:rPr>
              <w:t>3</w:t>
            </w:r>
            <w:r>
              <w:rPr>
                <w:rFonts w:eastAsia="黑体"/>
                <w:color w:val="000000" w:themeColor="text1"/>
                <w:szCs w:val="21"/>
                <w14:textFill>
                  <w14:solidFill>
                    <w14:schemeClr w14:val="tx1"/>
                  </w14:solidFill>
                </w14:textFill>
              </w:rPr>
              <w:t>)</w:t>
            </w:r>
          </w:p>
        </w:tc>
        <w:tc>
          <w:tcPr>
            <w:tcW w:w="711" w:type="pct"/>
            <w:tcBorders>
              <w:top w:val="single" w:color="auto" w:sz="4" w:space="0"/>
              <w:left w:val="single" w:color="auto" w:sz="4" w:space="0"/>
              <w:bottom w:val="single" w:color="auto" w:sz="4" w:space="0"/>
              <w:right w:val="single" w:color="auto" w:sz="12" w:space="0"/>
            </w:tcBorders>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排放量</w:t>
            </w:r>
            <w:r>
              <w:rPr>
                <w:rFonts w:eastAsia="黑体"/>
                <w:color w:val="000000" w:themeColor="text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restart"/>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物</w:t>
            </w:r>
          </w:p>
        </w:tc>
        <w:tc>
          <w:tcPr>
            <w:tcW w:w="957" w:type="pc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汽车运输G</w:t>
            </w:r>
            <w:r>
              <w:rPr>
                <w:rFonts w:hint="eastAsia"/>
                <w:color w:val="000000" w:themeColor="text1"/>
                <w:szCs w:val="21"/>
                <w:vertAlign w:val="subscript"/>
                <w14:textFill>
                  <w14:solidFill>
                    <w14:schemeClr w14:val="tx1"/>
                  </w14:solidFill>
                </w14:textFill>
              </w:rPr>
              <w:t>1</w:t>
            </w: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扬尘（无组织）</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85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11" w:type="pct"/>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957" w:type="pc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破碎工序G</w:t>
            </w:r>
            <w:r>
              <w:rPr>
                <w:rFonts w:hint="eastAsia"/>
                <w:color w:val="000000" w:themeColor="text1"/>
                <w:szCs w:val="21"/>
                <w:vertAlign w:val="subscript"/>
                <w14:textFill>
                  <w14:solidFill>
                    <w14:schemeClr w14:val="tx1"/>
                  </w14:solidFill>
                </w14:textFill>
              </w:rPr>
              <w:t>2</w:t>
            </w: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粉尘</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2000</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96</w:t>
            </w:r>
          </w:p>
        </w:tc>
        <w:tc>
          <w:tcPr>
            <w:tcW w:w="85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711" w:type="pct"/>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957" w:type="pc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皮带输送G</w:t>
            </w:r>
            <w:r>
              <w:rPr>
                <w:rFonts w:hint="eastAsia"/>
                <w:color w:val="000000" w:themeColor="text1"/>
                <w:szCs w:val="21"/>
                <w:vertAlign w:val="subscript"/>
                <w14:textFill>
                  <w14:solidFill>
                    <w14:schemeClr w14:val="tx1"/>
                  </w14:solidFill>
                </w14:textFill>
              </w:rPr>
              <w:t>3</w:t>
            </w: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粉尘（无组织）</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少量</w:t>
            </w:r>
          </w:p>
        </w:tc>
        <w:tc>
          <w:tcPr>
            <w:tcW w:w="85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11" w:type="pct"/>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少量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957" w:type="pct"/>
            <w:tcBorders>
              <w:top w:val="single" w:color="auto" w:sz="4" w:space="0"/>
              <w:left w:val="single" w:color="000000"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原料堆场G</w:t>
            </w:r>
            <w:r>
              <w:rPr>
                <w:rFonts w:hint="eastAsia"/>
                <w:color w:val="000000" w:themeColor="text1"/>
                <w:szCs w:val="21"/>
                <w:vertAlign w:val="subscript"/>
                <w14:textFill>
                  <w14:solidFill>
                    <w14:schemeClr w14:val="tx1"/>
                  </w14:solidFill>
                </w14:textFill>
              </w:rPr>
              <w:t>4</w:t>
            </w: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粉尘（无组织）</w:t>
            </w:r>
          </w:p>
        </w:tc>
        <w:tc>
          <w:tcPr>
            <w:tcW w:w="588" w:type="pct"/>
            <w:tcBorders>
              <w:top w:val="single" w:color="auto" w:sz="4" w:space="0"/>
              <w:left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619" w:type="pct"/>
            <w:tcBorders>
              <w:top w:val="single" w:color="auto" w:sz="4" w:space="0"/>
              <w:left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少量</w:t>
            </w:r>
          </w:p>
        </w:tc>
        <w:tc>
          <w:tcPr>
            <w:tcW w:w="85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11" w:type="pct"/>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少量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restart"/>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水污</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染物</w:t>
            </w:r>
          </w:p>
        </w:tc>
        <w:tc>
          <w:tcPr>
            <w:tcW w:w="957" w:type="pc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洗车废水</w:t>
            </w:r>
            <w:r>
              <w:rPr>
                <w:color w:val="000000" w:themeColor="text1"/>
                <w:szCs w:val="21"/>
                <w14:textFill>
                  <w14:solidFill>
                    <w14:schemeClr w14:val="tx1"/>
                  </w14:solidFill>
                </w14:textFill>
              </w:rPr>
              <w:t>W</w:t>
            </w:r>
            <w:r>
              <w:rPr>
                <w:color w:val="000000" w:themeColor="text1"/>
                <w:szCs w:val="21"/>
                <w:vertAlign w:val="subscript"/>
                <w14:textFill>
                  <w14:solidFill>
                    <w14:schemeClr w14:val="tx1"/>
                  </w14:solidFill>
                </w14:textFill>
              </w:rPr>
              <w:t>1</w:t>
            </w: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0.72m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/d</w:t>
            </w:r>
          </w:p>
        </w:tc>
        <w:tc>
          <w:tcPr>
            <w:tcW w:w="1565" w:type="pct"/>
            <w:gridSpan w:val="2"/>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957" w:type="pct"/>
            <w:vMerge w:val="restar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vertAlign w:val="subscript"/>
                <w14:textFill>
                  <w14:solidFill>
                    <w14:schemeClr w14:val="tx1"/>
                  </w14:solidFill>
                </w14:textFill>
              </w:rPr>
            </w:pPr>
            <w:r>
              <w:rPr>
                <w:color w:val="000000" w:themeColor="text1"/>
                <w:szCs w:val="21"/>
                <w14:textFill>
                  <w14:solidFill>
                    <w14:schemeClr w14:val="tx1"/>
                  </w14:solidFill>
                </w14:textFill>
              </w:rPr>
              <w:t>生活污水</w:t>
            </w:r>
            <w:r>
              <w:rPr>
                <w:rFonts w:hint="eastAsia"/>
                <w:color w:val="000000" w:themeColor="text1"/>
                <w:szCs w:val="21"/>
                <w14:textFill>
                  <w14:solidFill>
                    <w14:schemeClr w14:val="tx1"/>
                  </w14:solidFill>
                </w14:textFill>
              </w:rPr>
              <w:t>W</w:t>
            </w:r>
            <w:r>
              <w:rPr>
                <w:rFonts w:hint="eastAsia"/>
                <w:color w:val="000000" w:themeColor="text1"/>
                <w:szCs w:val="21"/>
                <w:vertAlign w:val="subscript"/>
                <w14:textFill>
                  <w14:solidFill>
                    <w14:schemeClr w14:val="tx1"/>
                  </w14:solidFill>
                </w14:textFill>
              </w:rPr>
              <w:t>2</w:t>
            </w:r>
          </w:p>
          <w:p>
            <w:pPr>
              <w:jc w:val="center"/>
              <w:rPr>
                <w:color w:val="000000" w:themeColor="text1"/>
                <w:szCs w:val="21"/>
                <w:vertAlign w:val="subscript"/>
                <w14:textFill>
                  <w14:solidFill>
                    <w14:schemeClr w14:val="tx1"/>
                  </w14:solidFill>
                </w14:textFill>
              </w:rPr>
            </w:pPr>
            <w:r>
              <w:rPr>
                <w:rFonts w:hint="eastAsia"/>
                <w:bCs/>
                <w:color w:val="000000" w:themeColor="text1"/>
                <w:szCs w:val="21"/>
                <w14:textFill>
                  <w14:solidFill>
                    <w14:schemeClr w14:val="tx1"/>
                  </w14:solidFill>
                </w14:textFill>
              </w:rPr>
              <w:t>172.8m</w:t>
            </w:r>
            <w:r>
              <w:rPr>
                <w:rFonts w:hint="eastAsia"/>
                <w:bCs/>
                <w:color w:val="000000" w:themeColor="text1"/>
                <w:szCs w:val="21"/>
                <w:vertAlign w:val="superscript"/>
                <w14:textFill>
                  <w14:solidFill>
                    <w14:schemeClr w14:val="tx1"/>
                  </w14:solidFill>
                </w14:textFill>
              </w:rPr>
              <w:t>3</w:t>
            </w:r>
            <w:r>
              <w:rPr>
                <w:rFonts w:hint="eastAsia"/>
                <w:bCs/>
                <w:color w:val="000000" w:themeColor="text1"/>
                <w:szCs w:val="21"/>
                <w14:textFill>
                  <w14:solidFill>
                    <w14:schemeClr w14:val="tx1"/>
                  </w14:solidFill>
                </w14:textFill>
              </w:rPr>
              <w:t>/a</w:t>
            </w: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r>
              <w:rPr>
                <w:rFonts w:hint="eastAsia"/>
                <w:color w:val="000000" w:themeColor="text1"/>
                <w:szCs w:val="21"/>
                <w14:textFill>
                  <w14:solidFill>
                    <w14:schemeClr w14:val="tx1"/>
                  </w14:solidFill>
                </w14:textFill>
              </w:rPr>
              <w:t>cr</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400mg/L</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0.0696t/a</w:t>
            </w:r>
          </w:p>
        </w:tc>
        <w:tc>
          <w:tcPr>
            <w:tcW w:w="1565" w:type="pct"/>
            <w:gridSpan w:val="2"/>
            <w:vMerge w:val="restart"/>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957" w:type="pct"/>
            <w:vMerge w:val="continue"/>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BOD</w:t>
            </w:r>
            <w:r>
              <w:rPr>
                <w:color w:val="000000" w:themeColor="text1"/>
                <w:szCs w:val="21"/>
                <w:vertAlign w:val="subscript"/>
                <w14:textFill>
                  <w14:solidFill>
                    <w14:schemeClr w14:val="tx1"/>
                  </w14:solidFill>
                </w14:textFill>
              </w:rPr>
              <w:t>5</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w:t>
            </w:r>
            <w:r>
              <w:rPr>
                <w:rFonts w:hint="eastAsia"/>
                <w:color w:val="000000" w:themeColor="text1"/>
                <w:szCs w:val="21"/>
                <w14:textFill>
                  <w14:solidFill>
                    <w14:schemeClr w14:val="tx1"/>
                  </w14:solidFill>
                </w14:textFill>
              </w:rPr>
              <w:t>mg/L</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0.0432t/a</w:t>
            </w:r>
          </w:p>
        </w:tc>
        <w:tc>
          <w:tcPr>
            <w:tcW w:w="1565" w:type="pct"/>
            <w:gridSpan w:val="2"/>
            <w:vMerge w:val="continue"/>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957" w:type="pct"/>
            <w:vMerge w:val="continue"/>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SS</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r>
              <w:rPr>
                <w:rFonts w:hint="eastAsia"/>
                <w:color w:val="000000" w:themeColor="text1"/>
                <w:szCs w:val="21"/>
                <w14:textFill>
                  <w14:solidFill>
                    <w14:schemeClr w14:val="tx1"/>
                  </w14:solidFill>
                </w14:textFill>
              </w:rPr>
              <w:t>mg/L</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0.0516t/a</w:t>
            </w:r>
          </w:p>
        </w:tc>
        <w:tc>
          <w:tcPr>
            <w:tcW w:w="1565" w:type="pct"/>
            <w:gridSpan w:val="2"/>
            <w:vMerge w:val="continue"/>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restart"/>
            <w:tcBorders>
              <w:top w:val="single" w:color="000000" w:sz="4" w:space="0"/>
              <w:left w:val="single" w:color="auto" w:sz="12" w:space="0"/>
              <w:bottom w:val="single" w:color="000000"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废物</w:t>
            </w:r>
          </w:p>
        </w:tc>
        <w:tc>
          <w:tcPr>
            <w:tcW w:w="957"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生产车间</w:t>
            </w: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除尘灰S</w:t>
            </w:r>
            <w:r>
              <w:rPr>
                <w:rFonts w:hint="eastAsia"/>
                <w:color w:val="000000" w:themeColor="text1"/>
                <w:szCs w:val="21"/>
                <w:vertAlign w:val="subscript"/>
                <w14:textFill>
                  <w14:solidFill>
                    <w14:schemeClr w14:val="tx1"/>
                  </w14:solidFill>
                </w14:textFill>
              </w:rPr>
              <w:t>1</w:t>
            </w:r>
          </w:p>
        </w:tc>
        <w:tc>
          <w:tcPr>
            <w:tcW w:w="1208" w:type="pct"/>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95.04</w:t>
            </w:r>
          </w:p>
        </w:tc>
        <w:tc>
          <w:tcPr>
            <w:tcW w:w="1565" w:type="pct"/>
            <w:gridSpan w:val="2"/>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vMerge w:val="continue"/>
            <w:tcBorders>
              <w:top w:val="single" w:color="000000" w:sz="4" w:space="0"/>
              <w:left w:val="single" w:color="auto" w:sz="12" w:space="0"/>
              <w:bottom w:val="single" w:color="000000" w:sz="4" w:space="0"/>
              <w:right w:val="single" w:color="auto" w:sz="4" w:space="0"/>
            </w:tcBorders>
            <w:vAlign w:val="center"/>
          </w:tcPr>
          <w:p>
            <w:pPr>
              <w:rPr>
                <w:color w:val="000000" w:themeColor="text1"/>
                <w:szCs w:val="21"/>
                <w14:textFill>
                  <w14:solidFill>
                    <w14:schemeClr w14:val="tx1"/>
                  </w14:solidFill>
                </w14:textFill>
              </w:rPr>
            </w:pPr>
          </w:p>
        </w:tc>
        <w:tc>
          <w:tcPr>
            <w:tcW w:w="957"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职工生活</w:t>
            </w:r>
          </w:p>
        </w:tc>
        <w:tc>
          <w:tcPr>
            <w:tcW w:w="71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生活垃圾</w:t>
            </w:r>
            <w:r>
              <w:rPr>
                <w:rFonts w:hint="eastAsia"/>
                <w:color w:val="000000" w:themeColor="text1"/>
                <w:szCs w:val="21"/>
                <w14:textFill>
                  <w14:solidFill>
                    <w14:schemeClr w14:val="tx1"/>
                  </w14:solidFill>
                </w14:textFill>
              </w:rPr>
              <w:t>S</w:t>
            </w:r>
            <w:r>
              <w:rPr>
                <w:rFonts w:hint="eastAsia"/>
                <w:color w:val="000000" w:themeColor="text1"/>
                <w:szCs w:val="21"/>
                <w:vertAlign w:val="subscript"/>
                <w14:textFill>
                  <w14:solidFill>
                    <w14:schemeClr w14:val="tx1"/>
                  </w14:solidFill>
                </w14:textFill>
              </w:rPr>
              <w:t>3</w:t>
            </w:r>
          </w:p>
        </w:tc>
        <w:tc>
          <w:tcPr>
            <w:tcW w:w="1208" w:type="pct"/>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1565" w:type="pct"/>
            <w:gridSpan w:val="2"/>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pacing w:val="6"/>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2" w:type="pct"/>
            <w:tcBorders>
              <w:top w:val="single" w:color="000000" w:sz="4" w:space="0"/>
              <w:left w:val="single" w:color="auto" w:sz="12"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4447" w:type="pct"/>
            <w:gridSpan w:val="6"/>
            <w:tcBorders>
              <w:top w:val="single" w:color="auto" w:sz="4" w:space="0"/>
              <w:left w:val="single" w:color="auto" w:sz="4" w:space="0"/>
              <w:bottom w:val="single" w:color="auto" w:sz="4" w:space="0"/>
              <w:right w:val="single" w:color="auto" w:sz="12" w:space="0"/>
            </w:tcBorders>
            <w:tcMar>
              <w:left w:w="57" w:type="dxa"/>
              <w:right w:w="57" w:type="dxa"/>
            </w:tcMar>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产生噪声的主要设备为</w:t>
            </w:r>
            <w:r>
              <w:rPr>
                <w:rFonts w:hint="eastAsia"/>
                <w:color w:val="000000" w:themeColor="text1"/>
                <w:szCs w:val="21"/>
                <w14:textFill>
                  <w14:solidFill>
                    <w14:schemeClr w14:val="tx1"/>
                  </w14:solidFill>
                </w14:textFill>
              </w:rPr>
              <w:t>给料机、破碎机、搅拌机、压球机、皮带机</w:t>
            </w:r>
            <w:r>
              <w:rPr>
                <w:rFonts w:hint="eastAsia"/>
                <w:color w:val="000000" w:themeColor="text1"/>
                <w:sz w:val="24"/>
                <w14:textFill>
                  <w14:solidFill>
                    <w14:schemeClr w14:val="tx1"/>
                  </w14:solidFill>
                </w14:textFill>
              </w:rPr>
              <w:t>、</w:t>
            </w:r>
            <w:r>
              <w:rPr>
                <w:rFonts w:hint="eastAsia"/>
                <w:color w:val="000000" w:themeColor="text1"/>
                <w:szCs w:val="21"/>
                <w14:textFill>
                  <w14:solidFill>
                    <w14:schemeClr w14:val="tx1"/>
                  </w14:solidFill>
                </w14:textFill>
              </w:rPr>
              <w:t>风机</w:t>
            </w:r>
            <w:r>
              <w:rPr>
                <w:color w:val="000000" w:themeColor="text1"/>
                <w:szCs w:val="21"/>
                <w14:textFill>
                  <w14:solidFill>
                    <w14:schemeClr w14:val="tx1"/>
                  </w14:solidFill>
                </w14:textFill>
              </w:rPr>
              <w:t>等。上述设备的声压级为</w:t>
            </w:r>
            <w:r>
              <w:rPr>
                <w:rFonts w:hint="eastAsia"/>
                <w:color w:val="000000" w:themeColor="text1"/>
                <w:szCs w:val="21"/>
                <w14:textFill>
                  <w14:solidFill>
                    <w14:schemeClr w14:val="tx1"/>
                  </w14:solidFill>
                </w14:textFill>
              </w:rPr>
              <w:t>75</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100</w:t>
            </w:r>
            <w:r>
              <w:rPr>
                <w:color w:val="000000" w:themeColor="text1"/>
                <w:szCs w:val="21"/>
                <w14:textFill>
                  <w14:solidFill>
                    <w14:schemeClr w14:val="tx1"/>
                  </w14:solidFill>
                </w14:textFill>
              </w:rPr>
              <w:t>dB(A)。经消声、隔声、减振后，可降低2</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～30dB(A)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000" w:type="pct"/>
            <w:gridSpan w:val="7"/>
            <w:tcBorders>
              <w:top w:val="single" w:color="auto" w:sz="4" w:space="0"/>
              <w:left w:val="single" w:color="auto" w:sz="12" w:space="0"/>
              <w:bottom w:val="single" w:color="auto" w:sz="12" w:space="0"/>
              <w:right w:val="single" w:color="auto" w:sz="12" w:space="0"/>
            </w:tcBorders>
            <w:tcMar>
              <w:left w:w="113" w:type="dxa"/>
              <w:right w:w="113" w:type="dxa"/>
            </w:tcMar>
          </w:tcPr>
          <w:p>
            <w:pPr>
              <w:spacing w:line="480" w:lineRule="exact"/>
              <w:rPr>
                <w:rFonts w:eastAsia="黑体"/>
                <w:bCs/>
                <w:color w:val="000000" w:themeColor="text1"/>
                <w:sz w:val="30"/>
                <w:szCs w:val="30"/>
                <w14:textFill>
                  <w14:solidFill>
                    <w14:schemeClr w14:val="tx1"/>
                  </w14:solidFill>
                </w14:textFill>
              </w:rPr>
            </w:pPr>
            <w:r>
              <w:rPr>
                <w:rFonts w:eastAsia="黑体"/>
                <w:bCs/>
                <w:color w:val="000000" w:themeColor="text1"/>
                <w:sz w:val="30"/>
                <w:szCs w:val="30"/>
                <w14:textFill>
                  <w14:solidFill>
                    <w14:schemeClr w14:val="tx1"/>
                  </w14:solidFill>
                </w14:textFill>
              </w:rPr>
              <w:t>主要生态影响（不够时可附另页）</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本项目为</w:t>
            </w:r>
            <w:r>
              <w:rPr>
                <w:rFonts w:hint="eastAsia"/>
                <w:color w:val="000000" w:themeColor="text1"/>
                <w:sz w:val="24"/>
                <w14:textFill>
                  <w14:solidFill>
                    <w14:schemeClr w14:val="tx1"/>
                  </w14:solidFill>
                </w14:textFill>
              </w:rPr>
              <w:t>新建</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不占用</w:t>
            </w:r>
            <w:r>
              <w:rPr>
                <w:color w:val="000000" w:themeColor="text1"/>
                <w:sz w:val="24"/>
                <w14:textFill>
                  <w14:solidFill>
                    <w14:schemeClr w14:val="tx1"/>
                  </w14:solidFill>
                </w14:textFill>
              </w:rPr>
              <w:t>基本农田。项目的生态影响主要为污染型生态影响，体现在粉尘对农作物的影响。对农作物的影响如下：</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生产</w:t>
            </w:r>
            <w:r>
              <w:rPr>
                <w:color w:val="000000" w:themeColor="text1"/>
                <w:sz w:val="24"/>
                <w14:textFill>
                  <w14:solidFill>
                    <w14:schemeClr w14:val="tx1"/>
                  </w14:solidFill>
                </w14:textFill>
              </w:rPr>
              <w:t>过程产生的</w:t>
            </w:r>
            <w:r>
              <w:rPr>
                <w:rFonts w:hint="eastAsia"/>
                <w:color w:val="000000" w:themeColor="text1"/>
                <w:sz w:val="24"/>
                <w14:textFill>
                  <w14:solidFill>
                    <w14:schemeClr w14:val="tx1"/>
                  </w14:solidFill>
                </w14:textFill>
              </w:rPr>
              <w:t>粉</w:t>
            </w:r>
            <w:r>
              <w:rPr>
                <w:color w:val="000000" w:themeColor="text1"/>
                <w:sz w:val="24"/>
                <w14:textFill>
                  <w14:solidFill>
                    <w14:schemeClr w14:val="tx1"/>
                  </w14:solidFill>
                </w14:textFill>
              </w:rPr>
              <w:t>尘对植物的影响主要是对光合作用的影响。粒径大于1mm的颗粒物在扩散过程中可自然沉降，吸附于植物叶片上，阻塞气孔，影响生长，使叶片褪色、变硬，植物生长不良。另外，粉尘落到田间，会影响土壤透水透气性，不利于植物吸收土壤养分，间接造成植物生长缓慢。</w:t>
            </w:r>
          </w:p>
          <w:p>
            <w:pPr>
              <w:adjustRightInd w:val="0"/>
              <w:snapToGrid w:val="0"/>
              <w:spacing w:line="360" w:lineRule="auto"/>
              <w:ind w:firstLine="482"/>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本工程在采取环评规定的措施的基础上，污染物排放量较小，同时对厂区及周围的环境进行绿化，在车间之间的空地上设置绿化场地，因此本项目投产后对生态环境产生的负面影响较小。</w:t>
            </w:r>
          </w:p>
          <w:p>
            <w:pPr>
              <w:adjustRightInd w:val="0"/>
              <w:snapToGrid w:val="0"/>
              <w:spacing w:line="360" w:lineRule="auto"/>
              <w:ind w:firstLine="482"/>
              <w:rPr>
                <w:color w:val="000000" w:themeColor="text1"/>
                <w:spacing w:val="4"/>
                <w:szCs w:val="21"/>
                <w14:textFill>
                  <w14:solidFill>
                    <w14:schemeClr w14:val="tx1"/>
                  </w14:solidFill>
                </w14:textFill>
              </w:rPr>
            </w:pPr>
          </w:p>
          <w:p>
            <w:pPr>
              <w:pStyle w:val="31"/>
              <w:ind w:firstLine="436"/>
              <w:rPr>
                <w:color w:val="000000" w:themeColor="text1"/>
                <w:spacing w:val="4"/>
                <w:szCs w:val="21"/>
                <w14:textFill>
                  <w14:solidFill>
                    <w14:schemeClr w14:val="tx1"/>
                  </w14:solidFill>
                </w14:textFill>
              </w:rPr>
            </w:pPr>
          </w:p>
          <w:p>
            <w:pPr>
              <w:rPr>
                <w:color w:val="000000" w:themeColor="text1"/>
                <w:spacing w:val="4"/>
                <w:szCs w:val="21"/>
                <w14:textFill>
                  <w14:solidFill>
                    <w14:schemeClr w14:val="tx1"/>
                  </w14:solidFill>
                </w14:textFill>
              </w:rPr>
            </w:pPr>
          </w:p>
          <w:p>
            <w:pPr>
              <w:pStyle w:val="31"/>
              <w:ind w:firstLine="436"/>
              <w:rPr>
                <w:color w:val="000000" w:themeColor="text1"/>
                <w:spacing w:val="4"/>
                <w:szCs w:val="21"/>
                <w14:textFill>
                  <w14:solidFill>
                    <w14:schemeClr w14:val="tx1"/>
                  </w14:solidFill>
                </w14:textFill>
              </w:rPr>
            </w:pPr>
          </w:p>
          <w:p>
            <w:pPr>
              <w:rPr>
                <w:color w:val="000000" w:themeColor="text1"/>
                <w:spacing w:val="4"/>
                <w:szCs w:val="21"/>
                <w14:textFill>
                  <w14:solidFill>
                    <w14:schemeClr w14:val="tx1"/>
                  </w14:solidFill>
                </w14:textFill>
              </w:rPr>
            </w:pPr>
          </w:p>
          <w:p>
            <w:pPr>
              <w:adjustRightInd w:val="0"/>
              <w:snapToGrid w:val="0"/>
              <w:spacing w:line="360" w:lineRule="auto"/>
              <w:ind w:firstLine="482"/>
              <w:rPr>
                <w:color w:val="000000" w:themeColor="text1"/>
                <w:spacing w:val="4"/>
                <w:szCs w:val="21"/>
                <w14:textFill>
                  <w14:solidFill>
                    <w14:schemeClr w14:val="tx1"/>
                  </w14:solidFill>
                </w14:textFill>
              </w:rPr>
            </w:pPr>
          </w:p>
          <w:p>
            <w:pPr>
              <w:pStyle w:val="31"/>
              <w:spacing w:line="300" w:lineRule="exact"/>
              <w:ind w:firstLine="420"/>
            </w:pPr>
          </w:p>
          <w:p>
            <w:pPr>
              <w:adjustRightInd w:val="0"/>
              <w:snapToGrid w:val="0"/>
              <w:rPr>
                <w:color w:val="000000" w:themeColor="text1"/>
                <w:spacing w:val="4"/>
                <w:sz w:val="24"/>
                <w14:textFill>
                  <w14:solidFill>
                    <w14:schemeClr w14:val="tx1"/>
                  </w14:solidFill>
                </w14:textFill>
              </w:rPr>
            </w:pPr>
          </w:p>
        </w:tc>
      </w:tr>
    </w:tbl>
    <w:p>
      <w:pPr>
        <w:outlineLvl w:val="0"/>
        <w:rPr>
          <w:rFonts w:eastAsia="黑体"/>
          <w:bCs/>
          <w:color w:val="000000" w:themeColor="text1"/>
          <w:sz w:val="32"/>
          <w:szCs w:val="32"/>
          <w14:textFill>
            <w14:solidFill>
              <w14:schemeClr w14:val="tx1"/>
            </w14:solidFill>
          </w14:textFill>
        </w:rPr>
        <w:sectPr>
          <w:pgSz w:w="11906" w:h="16838"/>
          <w:pgMar w:top="1418" w:right="1440" w:bottom="1418" w:left="1440" w:header="851" w:footer="992" w:gutter="0"/>
          <w:cols w:space="425" w:num="1"/>
          <w:docGrid w:type="lines" w:linePitch="312" w:charSpace="0"/>
        </w:sectPr>
      </w:pPr>
    </w:p>
    <w:p>
      <w:pPr>
        <w:outlineLvl w:val="0"/>
        <w:rPr>
          <w:rFonts w:eastAsia="黑体"/>
          <w:bCs/>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环境影响分析</w:t>
      </w:r>
    </w:p>
    <w:tbl>
      <w:tblPr>
        <w:tblStyle w:val="32"/>
        <w:tblW w:w="92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49" w:hRule="atLeast"/>
          <w:jc w:val="center"/>
        </w:trPr>
        <w:tc>
          <w:tcPr>
            <w:tcW w:w="9256" w:type="dxa"/>
          </w:tcPr>
          <w:p>
            <w:pPr>
              <w:spacing w:before="156" w:beforeLines="50" w:line="480" w:lineRule="exact"/>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施工期环境影响分析：</w:t>
            </w:r>
          </w:p>
          <w:p>
            <w:pPr>
              <w:autoSpaceDE w:val="0"/>
              <w:autoSpaceDN w:val="0"/>
              <w:adjustRightInd w:val="0"/>
              <w:spacing w:line="480" w:lineRule="exact"/>
              <w:ind w:firstLine="480" w:firstLineChars="200"/>
              <w:jc w:val="lef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本项目</w:t>
            </w:r>
            <w:r>
              <w:rPr>
                <w:color w:val="000000" w:themeColor="text1"/>
                <w:sz w:val="24"/>
                <w:szCs w:val="28"/>
                <w14:textFill>
                  <w14:solidFill>
                    <w14:schemeClr w14:val="tx1"/>
                  </w14:solidFill>
                </w14:textFill>
              </w:rPr>
              <w:t>主要建设工程为</w:t>
            </w:r>
            <w:r>
              <w:rPr>
                <w:rFonts w:hint="eastAsia"/>
                <w:color w:val="000000" w:themeColor="text1"/>
                <w:sz w:val="24"/>
                <w:szCs w:val="28"/>
                <w14:textFill>
                  <w14:solidFill>
                    <w14:schemeClr w14:val="tx1"/>
                  </w14:solidFill>
                </w14:textFill>
              </w:rPr>
              <w:t>厂房</w:t>
            </w:r>
            <w:r>
              <w:rPr>
                <w:color w:val="000000" w:themeColor="text1"/>
                <w:sz w:val="24"/>
                <w:szCs w:val="28"/>
                <w14:textFill>
                  <w14:solidFill>
                    <w14:schemeClr w14:val="tx1"/>
                  </w14:solidFill>
                </w14:textFill>
              </w:rPr>
              <w:t>以及辅助工程等土建工程，</w:t>
            </w:r>
            <w:r>
              <w:rPr>
                <w:color w:val="000000" w:themeColor="text1"/>
                <w:kern w:val="0"/>
                <w:sz w:val="24"/>
                <w14:textFill>
                  <w14:solidFill>
                    <w14:schemeClr w14:val="tx1"/>
                  </w14:solidFill>
                </w14:textFill>
              </w:rPr>
              <w:t>建设施工期的产污环节主要是扬尘污染、施工噪声、各类建筑垃圾及施工人员的生活垃圾、生活污水等</w:t>
            </w:r>
            <w:r>
              <w:rPr>
                <w:color w:val="000000" w:themeColor="text1"/>
                <w:sz w:val="24"/>
                <w14:textFill>
                  <w14:solidFill>
                    <w14:schemeClr w14:val="tx1"/>
                  </w14:solidFill>
                </w14:textFill>
              </w:rPr>
              <w:t>。</w:t>
            </w:r>
          </w:p>
          <w:p>
            <w:pPr>
              <w:pStyle w:val="69"/>
              <w:spacing w:line="480" w:lineRule="exact"/>
              <w:ind w:firstLine="504"/>
              <w:rPr>
                <w:rFonts w:ascii="Times New Roman" w:hAnsi="Times New Roman"/>
                <w:color w:val="000000" w:themeColor="text1"/>
                <w:spacing w:val="6"/>
                <w:sz w:val="24"/>
                <w14:textFill>
                  <w14:solidFill>
                    <w14:schemeClr w14:val="tx1"/>
                  </w14:solidFill>
                </w14:textFill>
              </w:rPr>
            </w:pPr>
            <w:r>
              <w:rPr>
                <w:rFonts w:ascii="Times New Roman" w:hAnsi="Times New Roman"/>
                <w:color w:val="000000" w:themeColor="text1"/>
                <w:spacing w:val="6"/>
                <w:sz w:val="24"/>
                <w14:textFill>
                  <w14:solidFill>
                    <w14:schemeClr w14:val="tx1"/>
                  </w14:solidFill>
                </w14:textFill>
              </w:rPr>
              <w:t>1、</w:t>
            </w:r>
            <w:r>
              <w:rPr>
                <w:rFonts w:ascii="Times New Roman" w:hAnsi="Times New Roman" w:eastAsia="黑体"/>
                <w:color w:val="000000" w:themeColor="text1"/>
                <w:sz w:val="24"/>
                <w14:textFill>
                  <w14:solidFill>
                    <w14:schemeClr w14:val="tx1"/>
                  </w14:solidFill>
                </w14:textFill>
              </w:rPr>
              <w:t>施工期环境大气污染影响分析</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1.1扬尘</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在施工建设期间对大气环境的影响主要是施工产生的扬尘。施工扬尘按起尘原因可分为风力扬尘和动力扬尘。其中风力扬尘主要是由于天气干燥及大风造成的；而动力扬尘，主要是在建材的装卸过程中，由于外力而产生的尘粒再悬浮而造成的，其中施工及装卸车辆造成的扬尘最为严重。根据有关资料介绍，车辆行驶产生的扬尘占总扬尘的60%以上。车辆行驶产生的扬尘，在完全干燥情况下，可按下列经验公式计算：</w:t>
            </w:r>
          </w:p>
          <w:p>
            <w:pPr>
              <w:spacing w:before="50" w:line="480" w:lineRule="exact"/>
              <w:ind w:firstLine="2040" w:firstLineChars="850"/>
              <w:rPr>
                <w:color w:val="000000" w:themeColor="text1"/>
                <w:sz w:val="24"/>
                <w14:textFill>
                  <w14:solidFill>
                    <w14:schemeClr w14:val="tx1"/>
                  </w14:solidFill>
                </w14:textFill>
              </w:rPr>
            </w:pPr>
            <w:r>
              <w:rPr>
                <w:color w:val="000000" w:themeColor="text1"/>
                <w:sz w:val="24"/>
                <w14:textFill>
                  <w14:solidFill>
                    <w14:schemeClr w14:val="tx1"/>
                  </w14:solidFill>
                </w14:textFill>
              </w:rPr>
              <w:t>Q</w:t>
            </w:r>
            <w:r>
              <w:rPr>
                <w:color w:val="000000" w:themeColor="text1"/>
                <w:sz w:val="24"/>
                <w:vertAlign w:val="subscript"/>
                <w14:textFill>
                  <w14:solidFill>
                    <w14:schemeClr w14:val="tx1"/>
                  </w14:solidFill>
                </w14:textFill>
              </w:rPr>
              <w:t>p</w:t>
            </w:r>
            <w:r>
              <w:rPr>
                <w:color w:val="000000" w:themeColor="text1"/>
                <w:sz w:val="24"/>
                <w14:textFill>
                  <w14:solidFill>
                    <w14:schemeClr w14:val="tx1"/>
                  </w14:solidFill>
                </w14:textFill>
              </w:rPr>
              <w:t>=0.123(V/5)·(M/6.8)</w:t>
            </w:r>
            <w:r>
              <w:rPr>
                <w:color w:val="000000" w:themeColor="text1"/>
                <w:sz w:val="24"/>
                <w:vertAlign w:val="superscript"/>
                <w14:textFill>
                  <w14:solidFill>
                    <w14:schemeClr w14:val="tx1"/>
                  </w14:solidFill>
                </w14:textFill>
              </w:rPr>
              <w:t>0.85</w:t>
            </w:r>
            <w:r>
              <w:rPr>
                <w:color w:val="000000" w:themeColor="text1"/>
                <w:sz w:val="24"/>
                <w14:textFill>
                  <w14:solidFill>
                    <w14:schemeClr w14:val="tx1"/>
                  </w14:solidFill>
                </w14:textFill>
              </w:rPr>
              <w:t>·(P/0.5)</w:t>
            </w:r>
            <w:r>
              <w:rPr>
                <w:color w:val="000000" w:themeColor="text1"/>
                <w:sz w:val="24"/>
                <w:vertAlign w:val="superscript"/>
                <w14:textFill>
                  <w14:solidFill>
                    <w14:schemeClr w14:val="tx1"/>
                  </w14:solidFill>
                </w14:textFill>
              </w:rPr>
              <w:t>0.72</w:t>
            </w:r>
            <w:r>
              <w:rPr>
                <w:color w:val="000000" w:themeColor="text1"/>
                <w:sz w:val="24"/>
                <w14:textFill>
                  <w14:solidFill>
                    <w14:schemeClr w14:val="tx1"/>
                  </w14:solidFill>
                </w14:textFill>
              </w:rPr>
              <w:t xml:space="preserve"> </w:t>
            </w:r>
          </w:p>
          <w:p>
            <w:pPr>
              <w:spacing w:before="50" w:line="480" w:lineRule="exact"/>
              <w:ind w:firstLine="2040" w:firstLineChars="850"/>
              <w:rPr>
                <w:color w:val="000000" w:themeColor="text1"/>
                <w:sz w:val="24"/>
                <w:lang w:val="es-VE"/>
                <w14:textFill>
                  <w14:solidFill>
                    <w14:schemeClr w14:val="tx1"/>
                  </w14:solidFill>
                </w14:textFill>
              </w:rPr>
            </w:pPr>
            <w:r>
              <w:rPr>
                <w:color w:val="000000" w:themeColor="text1"/>
                <w:sz w:val="24"/>
                <w:lang w:val="es-VE"/>
                <w14:textFill>
                  <w14:solidFill>
                    <w14:schemeClr w14:val="tx1"/>
                  </w14:solidFill>
                </w14:textFill>
              </w:rPr>
              <w:t>Q</w:t>
            </w:r>
            <w:r>
              <w:rPr>
                <w:color w:val="000000" w:themeColor="text1"/>
                <w:sz w:val="24"/>
                <w14:textFill>
                  <w14:solidFill>
                    <w14:schemeClr w14:val="tx1"/>
                  </w14:solidFill>
                </w14:textFill>
              </w:rPr>
              <w:t>′</w:t>
            </w:r>
            <w:r>
              <w:rPr>
                <w:color w:val="000000" w:themeColor="text1"/>
                <w:sz w:val="24"/>
                <w:vertAlign w:val="subscript"/>
                <w:lang w:val="es-VE"/>
                <w14:textFill>
                  <w14:solidFill>
                    <w14:schemeClr w14:val="tx1"/>
                  </w14:solidFill>
                </w14:textFill>
              </w:rPr>
              <w:t>p</w:t>
            </w:r>
            <w:r>
              <w:rPr>
                <w:color w:val="000000" w:themeColor="text1"/>
                <w:sz w:val="24"/>
                <w:lang w:val="es-VE"/>
                <w14:textFill>
                  <w14:solidFill>
                    <w14:schemeClr w14:val="tx1"/>
                  </w14:solidFill>
                </w14:textFill>
              </w:rPr>
              <w:t>=Q</w:t>
            </w:r>
            <w:r>
              <w:rPr>
                <w:color w:val="000000" w:themeColor="text1"/>
                <w:sz w:val="24"/>
                <w:vertAlign w:val="subscript"/>
                <w:lang w:val="es-VE"/>
                <w14:textFill>
                  <w14:solidFill>
                    <w14:schemeClr w14:val="tx1"/>
                  </w14:solidFill>
                </w14:textFill>
              </w:rPr>
              <w:t>p</w:t>
            </w:r>
            <w:r>
              <w:rPr>
                <w:color w:val="000000" w:themeColor="text1"/>
                <w:sz w:val="24"/>
                <w:lang w:val="es-VE"/>
                <w14:textFill>
                  <w14:solidFill>
                    <w14:schemeClr w14:val="tx1"/>
                  </w14:solidFill>
                </w14:textFill>
              </w:rPr>
              <w:t>·L·Q/M</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式中：Q——汽车行驶的扬尘，kg/km·辆； </w:t>
            </w:r>
          </w:p>
          <w:p>
            <w:pPr>
              <w:spacing w:line="480" w:lineRule="exact"/>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V</w:t>
            </w:r>
            <w:r>
              <w:rPr>
                <w:color w:val="000000" w:themeColor="text1"/>
                <w:sz w:val="24"/>
                <w14:textFill>
                  <w14:solidFill>
                    <w14:schemeClr w14:val="tx1"/>
                  </w14:solidFill>
                </w14:textFill>
              </w:rPr>
              <w:softHyphen/>
            </w:r>
            <w:r>
              <w:rPr>
                <w:color w:val="000000" w:themeColor="text1"/>
                <w:sz w:val="24"/>
                <w14:textFill>
                  <w14:solidFill>
                    <w14:schemeClr w14:val="tx1"/>
                  </w14:solidFill>
                </w14:textFill>
              </w:rPr>
              <w:t>——汽车速度，km/h；</w:t>
            </w:r>
          </w:p>
          <w:p>
            <w:pPr>
              <w:spacing w:line="480" w:lineRule="exact"/>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W——汽车载重量，吨； </w:t>
            </w:r>
          </w:p>
          <w:p>
            <w:pPr>
              <w:spacing w:line="480" w:lineRule="exact"/>
              <w:ind w:firstLine="1320" w:firstLineChars="550"/>
              <w:rPr>
                <w:color w:val="000000" w:themeColor="text1"/>
                <w:sz w:val="24"/>
                <w14:textFill>
                  <w14:solidFill>
                    <w14:schemeClr w14:val="tx1"/>
                  </w14:solidFill>
                </w14:textFill>
              </w:rPr>
            </w:pPr>
            <w:r>
              <w:rPr>
                <w:color w:val="000000" w:themeColor="text1"/>
                <w:sz w:val="24"/>
                <w14:textFill>
                  <w14:solidFill>
                    <w14:schemeClr w14:val="tx1"/>
                  </w14:solidFill>
                </w14:textFill>
              </w:rPr>
              <w:t>P——道路表面粉尘量，kg/m</w:t>
            </w:r>
            <w:r>
              <w:rPr>
                <w:color w:val="000000" w:themeColor="text1"/>
                <w:sz w:val="24"/>
                <w:vertAlign w:val="superscript"/>
                <w14:textFill>
                  <w14:solidFill>
                    <w14:schemeClr w14:val="tx1"/>
                  </w14:solidFill>
                </w14:textFill>
              </w:rPr>
              <w:t>2</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表</w:t>
            </w:r>
            <w:r>
              <w:rPr>
                <w:rFonts w:hint="eastAsia"/>
                <w:color w:val="000000" w:themeColor="text1"/>
                <w:sz w:val="24"/>
                <w14:textFill>
                  <w14:solidFill>
                    <w14:schemeClr w14:val="tx1"/>
                  </w14:solidFill>
                </w14:textFill>
              </w:rPr>
              <w:t>7-1</w:t>
            </w:r>
            <w:r>
              <w:rPr>
                <w:color w:val="000000" w:themeColor="text1"/>
                <w:sz w:val="24"/>
                <w14:textFill>
                  <w14:solidFill>
                    <w14:schemeClr w14:val="tx1"/>
                  </w14:solidFill>
                </w14:textFill>
              </w:rPr>
              <w:t>为一辆</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0吨卡车，通过一段长度为1km的路面时，不同路面清洁程度，不同行驶速度情况下的扬尘量。</w:t>
            </w:r>
          </w:p>
          <w:p>
            <w:pPr>
              <w:spacing w:line="48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 xml:space="preserve">7-1 </w:t>
            </w:r>
            <w:r>
              <w:rPr>
                <w:b/>
                <w:color w:val="000000" w:themeColor="text1"/>
                <w:sz w:val="24"/>
                <w14:textFill>
                  <w14:solidFill>
                    <w14:schemeClr w14:val="tx1"/>
                  </w14:solidFill>
                </w14:textFill>
              </w:rPr>
              <w:t>在不同车速和地面清洁程度的汽车扬尘      单位：kg/辆·公里</w:t>
            </w:r>
          </w:p>
          <w:tbl>
            <w:tblPr>
              <w:tblStyle w:val="32"/>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11"/>
              <w:gridCol w:w="1229"/>
              <w:gridCol w:w="1111"/>
              <w:gridCol w:w="1111"/>
              <w:gridCol w:w="1111"/>
              <w:gridCol w:w="1112"/>
              <w:gridCol w:w="1112"/>
              <w:gridCol w:w="1112"/>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758"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车速</w:t>
                  </w:r>
                </w:p>
              </w:tc>
              <w:tc>
                <w:tcPr>
                  <w:tcW w:w="660"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5</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0.4</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0.5</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58"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5（km/h）</w:t>
                  </w:r>
                </w:p>
              </w:tc>
              <w:tc>
                <w:tcPr>
                  <w:tcW w:w="660"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0.0303579</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0.051056</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0.085865</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0.116382</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0.144408</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0.170715</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0.287108</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58"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10（km/h）</w:t>
                  </w:r>
                </w:p>
              </w:tc>
              <w:tc>
                <w:tcPr>
                  <w:tcW w:w="660"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0.0607159</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0.102112</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0.171701</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0.232764</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0.288815</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0.341431</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0.574216</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58"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15（km/h）</w:t>
                  </w:r>
                </w:p>
              </w:tc>
              <w:tc>
                <w:tcPr>
                  <w:tcW w:w="660"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0.0910738</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0.153167</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0.257596</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0.349146</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0.433223</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0.512146</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0.861323</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58"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25（km/h）</w:t>
                  </w:r>
                </w:p>
              </w:tc>
              <w:tc>
                <w:tcPr>
                  <w:tcW w:w="660"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0.1517897</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0.255279</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0.429326</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0.58191</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0.722038</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0.853577</w:t>
                  </w:r>
                </w:p>
              </w:tc>
              <w:tc>
                <w:tcPr>
                  <w:tcW w:w="597" w:type="pct"/>
                  <w:tcBorders>
                    <w:tl2br w:val="nil"/>
                    <w:tr2bl w:val="nil"/>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1.435539</w:t>
                  </w:r>
                </w:p>
              </w:tc>
            </w:tr>
          </w:tbl>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结合上述公式和表中数据分析，在同样路面清洁程度条件下，车速越快，扬尘量越大；而在同样车速情况下，路面越脏，则扬尘量越大。因此，施工期间限速行驶及保持路面的清洁是减少汽车扬尘的有效手段。</w:t>
            </w:r>
          </w:p>
          <w:p>
            <w:pPr>
              <w:spacing w:before="78" w:beforeLines="25" w:line="480" w:lineRule="exact"/>
              <w:ind w:firstLine="561"/>
              <w:rPr>
                <w:color w:val="000000" w:themeColor="text1"/>
                <w:sz w:val="24"/>
                <w14:textFill>
                  <w14:solidFill>
                    <w14:schemeClr w14:val="tx1"/>
                  </w14:solidFill>
                </w14:textFill>
              </w:rPr>
            </w:pPr>
            <w:r>
              <w:rPr>
                <w:color w:val="000000" w:themeColor="text1"/>
                <w:sz w:val="24"/>
                <w14:textFill>
                  <w14:solidFill>
                    <w14:schemeClr w14:val="tx1"/>
                  </w14:solidFill>
                </w14:textFill>
              </w:rPr>
              <w:t>施工期扬尘的另一个主要原因是露天堆场和裸露场地的风力扬尘。施工期建材露天堆放、土壤开挖，在气候干燥又有风的情况下，会产生扬尘。其扬尘可按堆场起尘的经验公式计算：</w:t>
            </w:r>
          </w:p>
          <w:p>
            <w:pPr>
              <w:spacing w:before="156" w:beforeLines="50" w:line="480" w:lineRule="exact"/>
              <w:ind w:firstLine="2880" w:firstLineChars="1200"/>
              <w:rPr>
                <w:color w:val="000000" w:themeColor="text1"/>
                <w:sz w:val="24"/>
                <w14:textFill>
                  <w14:solidFill>
                    <w14:schemeClr w14:val="tx1"/>
                  </w14:solidFill>
                </w14:textFill>
              </w:rPr>
            </w:pPr>
            <w:r>
              <w:rPr>
                <w:color w:val="000000" w:themeColor="text1"/>
                <w:sz w:val="24"/>
                <w14:textFill>
                  <w14:solidFill>
                    <w14:schemeClr w14:val="tx1"/>
                  </w14:solidFill>
                </w14:textFill>
              </w:rPr>
              <w:t>Q=2.1(V</w:t>
            </w:r>
            <w:r>
              <w:rPr>
                <w:color w:val="000000" w:themeColor="text1"/>
                <w:sz w:val="24"/>
                <w:vertAlign w:val="subscript"/>
                <w14:textFill>
                  <w14:solidFill>
                    <w14:schemeClr w14:val="tx1"/>
                  </w14:solidFill>
                </w14:textFill>
              </w:rPr>
              <w:t>50</w:t>
            </w:r>
            <w:r>
              <w:rPr>
                <w:color w:val="000000" w:themeColor="text1"/>
                <w:sz w:val="24"/>
                <w14:textFill>
                  <w14:solidFill>
                    <w14:schemeClr w14:val="tx1"/>
                  </w14:solidFill>
                </w14:textFill>
              </w:rPr>
              <w:t>-V</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e</w:t>
            </w:r>
            <w:r>
              <w:rPr>
                <w:color w:val="000000" w:themeColor="text1"/>
                <w:sz w:val="24"/>
                <w:vertAlign w:val="superscript"/>
                <w14:textFill>
                  <w14:solidFill>
                    <w14:schemeClr w14:val="tx1"/>
                  </w14:solidFill>
                </w14:textFill>
              </w:rPr>
              <w:t>-1.023w</w:t>
            </w:r>
          </w:p>
          <w:p>
            <w:pPr>
              <w:spacing w:line="480" w:lineRule="exact"/>
              <w:ind w:firstLine="840" w:firstLineChars="350"/>
              <w:rPr>
                <w:color w:val="000000" w:themeColor="text1"/>
                <w:sz w:val="24"/>
                <w14:textFill>
                  <w14:solidFill>
                    <w14:schemeClr w14:val="tx1"/>
                  </w14:solidFill>
                </w14:textFill>
              </w:rPr>
            </w:pPr>
            <w:r>
              <w:rPr>
                <w:color w:val="000000" w:themeColor="text1"/>
                <w:sz w:val="24"/>
                <w14:textFill>
                  <w14:solidFill>
                    <w14:schemeClr w14:val="tx1"/>
                  </w14:solidFill>
                </w14:textFill>
              </w:rPr>
              <w:t>式中： Q——起尘量，kg/吨·年；</w:t>
            </w:r>
          </w:p>
          <w:p>
            <w:pPr>
              <w:spacing w:line="480" w:lineRule="exact"/>
              <w:ind w:firstLine="1680" w:firstLineChars="700"/>
              <w:rPr>
                <w:color w:val="000000" w:themeColor="text1"/>
                <w:sz w:val="24"/>
                <w14:textFill>
                  <w14:solidFill>
                    <w14:schemeClr w14:val="tx1"/>
                  </w14:solidFill>
                </w14:textFill>
              </w:rPr>
            </w:pPr>
            <w:r>
              <w:rPr>
                <w:color w:val="000000" w:themeColor="text1"/>
                <w:sz w:val="24"/>
                <w14:textFill>
                  <w14:solidFill>
                    <w14:schemeClr w14:val="tx1"/>
                  </w14:solidFill>
                </w14:textFill>
              </w:rPr>
              <w:t>V</w:t>
            </w:r>
            <w:r>
              <w:rPr>
                <w:color w:val="000000" w:themeColor="text1"/>
                <w:sz w:val="24"/>
                <w:vertAlign w:val="subscript"/>
                <w14:textFill>
                  <w14:solidFill>
                    <w14:schemeClr w14:val="tx1"/>
                  </w14:solidFill>
                </w14:textFill>
              </w:rPr>
              <w:t>50</w:t>
            </w:r>
            <w:r>
              <w:rPr>
                <w:color w:val="000000" w:themeColor="text1"/>
                <w:sz w:val="24"/>
                <w14:textFill>
                  <w14:solidFill>
                    <w14:schemeClr w14:val="tx1"/>
                  </w14:solidFill>
                </w14:textFill>
              </w:rPr>
              <w:t>——距地面50m处风速，m/s；</w:t>
            </w:r>
          </w:p>
          <w:p>
            <w:pPr>
              <w:spacing w:line="480" w:lineRule="exact"/>
              <w:ind w:firstLine="1660" w:firstLineChars="692"/>
              <w:rPr>
                <w:color w:val="000000" w:themeColor="text1"/>
                <w:sz w:val="24"/>
                <w14:textFill>
                  <w14:solidFill>
                    <w14:schemeClr w14:val="tx1"/>
                  </w14:solidFill>
                </w14:textFill>
              </w:rPr>
            </w:pPr>
            <w:r>
              <w:rPr>
                <w:color w:val="000000" w:themeColor="text1"/>
                <w:sz w:val="24"/>
                <w14:textFill>
                  <w14:solidFill>
                    <w14:schemeClr w14:val="tx1"/>
                  </w14:solidFill>
                </w14:textFill>
              </w:rPr>
              <w:t>V</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——起尘风速，m/s；</w:t>
            </w:r>
          </w:p>
          <w:p>
            <w:pPr>
              <w:spacing w:line="480" w:lineRule="exact"/>
              <w:ind w:firstLine="1660" w:firstLineChars="692"/>
              <w:rPr>
                <w:color w:val="000000" w:themeColor="text1"/>
                <w:sz w:val="24"/>
                <w14:textFill>
                  <w14:solidFill>
                    <w14:schemeClr w14:val="tx1"/>
                  </w14:solidFill>
                </w14:textFill>
              </w:rPr>
            </w:pPr>
            <w:r>
              <w:rPr>
                <w:color w:val="000000" w:themeColor="text1"/>
                <w:sz w:val="24"/>
                <w14:textFill>
                  <w14:solidFill>
                    <w14:schemeClr w14:val="tx1"/>
                  </w14:solidFill>
                </w14:textFill>
              </w:rPr>
              <w:t>W——尘粒的含水率，%</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从公式可以看出，起尘量与含水率有关，因此，减少露天堆放和保证一定的含水率及减少裸露地面是减少风力起尘的有效手段。</w:t>
            </w:r>
          </w:p>
          <w:p>
            <w:pPr>
              <w:spacing w:line="480" w:lineRule="exact"/>
              <w:ind w:firstLine="561"/>
              <w:rPr>
                <w:color w:val="000000" w:themeColor="text1"/>
                <w:sz w:val="24"/>
                <w14:textFill>
                  <w14:solidFill>
                    <w14:schemeClr w14:val="tx1"/>
                  </w14:solidFill>
                </w14:textFill>
              </w:rPr>
            </w:pPr>
            <w:r>
              <w:rPr>
                <w:color w:val="000000" w:themeColor="text1"/>
                <w:sz w:val="24"/>
                <w14:textFill>
                  <w14:solidFill>
                    <w14:schemeClr w14:val="tx1"/>
                  </w14:solidFill>
                </w14:textFill>
              </w:rPr>
              <w:t>尘粒在空气中的传播扩散情况与风速等气象条件有关，也与尘粒本身的沉降速度有关。以沙尘为例，不同粒径的尘粒的沉降速度列于下面表</w:t>
            </w:r>
            <w:r>
              <w:rPr>
                <w:rFonts w:hint="eastAsia"/>
                <w:color w:val="000000" w:themeColor="text1"/>
                <w:sz w:val="24"/>
                <w14:textFill>
                  <w14:solidFill>
                    <w14:schemeClr w14:val="tx1"/>
                  </w14:solidFill>
                </w14:textFill>
              </w:rPr>
              <w:t>7-2</w:t>
            </w:r>
            <w:r>
              <w:rPr>
                <w:color w:val="000000" w:themeColor="text1"/>
                <w:sz w:val="24"/>
                <w14:textFill>
                  <w14:solidFill>
                    <w14:schemeClr w14:val="tx1"/>
                  </w14:solidFill>
                </w14:textFill>
              </w:rPr>
              <w:t>中。</w:t>
            </w:r>
          </w:p>
          <w:p>
            <w:pPr>
              <w:spacing w:line="48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7-2</w:t>
            </w:r>
            <w:r>
              <w:rPr>
                <w:b/>
                <w:color w:val="000000" w:themeColor="text1"/>
                <w:sz w:val="24"/>
                <w14:textFill>
                  <w14:solidFill>
                    <w14:schemeClr w14:val="tx1"/>
                  </w14:solidFill>
                </w14:textFill>
              </w:rPr>
              <w:t xml:space="preserve"> 不同粒径的尘粒的沉降速度</w:t>
            </w:r>
          </w:p>
          <w:tbl>
            <w:tblPr>
              <w:tblStyle w:val="32"/>
              <w:tblW w:w="5000" w:type="pct"/>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0"/>
              <w:gridCol w:w="1098"/>
              <w:gridCol w:w="1098"/>
              <w:gridCol w:w="1098"/>
              <w:gridCol w:w="1098"/>
              <w:gridCol w:w="1099"/>
              <w:gridCol w:w="1099"/>
              <w:gridCol w:w="1099"/>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粒径，mm</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0.020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0.030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0.040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0.060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0.070</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沉降速度，m/s</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0.003</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0.012</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0.027</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0.048</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0.075</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0.108</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0.147</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粒径，mm</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0.080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0.090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0.100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0.200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0.350</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沉降速度，m/s</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0.158</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0.170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0.182</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0.239</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0.804</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1.005</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1.829</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粒径，mm</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0.450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0.550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0.650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0.750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0.850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0.950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1.050</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沉降速度，m/s</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2.211</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2.614</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3.016</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3.418</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3.820</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4.222</w:t>
                  </w:r>
                </w:p>
              </w:tc>
              <w:tc>
                <w:tcPr>
                  <w:tcW w:w="590" w:type="pct"/>
                  <w:tcBorders>
                    <w:tl2br w:val="nil"/>
                    <w:tr2bl w:val="nil"/>
                  </w:tcBorders>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4.624</w:t>
                  </w:r>
                </w:p>
              </w:tc>
            </w:tr>
          </w:tbl>
          <w:p>
            <w:pPr>
              <w:adjustRightInd w:val="0"/>
              <w:snapToGrid w:val="0"/>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由表</w:t>
            </w:r>
            <w:r>
              <w:rPr>
                <w:rFonts w:hint="eastAsia"/>
                <w:color w:val="000000" w:themeColor="text1"/>
                <w:sz w:val="24"/>
                <w14:textFill>
                  <w14:solidFill>
                    <w14:schemeClr w14:val="tx1"/>
                  </w14:solidFill>
                </w14:textFill>
              </w:rPr>
              <w:t>7-2</w:t>
            </w:r>
            <w:r>
              <w:rPr>
                <w:color w:val="000000" w:themeColor="text1"/>
                <w:sz w:val="24"/>
                <w14:textFill>
                  <w14:solidFill>
                    <w14:schemeClr w14:val="tx1"/>
                  </w14:solidFill>
                </w14:textFill>
              </w:rPr>
              <w:t>可知，尘粒的沉降速度随粒径的增大而迅速增大。当粒径为0.25mm时，沉降速度为1.005m/s，因此可以认为当尘粒大于0.25mm时，主要影响范围在扬尘点下风向近距离范围内，而真正对外环境产生影响的是一些微小尘粒。现场的气候情况不同，其影响范围也有所不同。施工过程中产生的扬尘，属无组织排放，在小风、静风天气作业时，影响范围小，大风天气作业时，污染较大。</w:t>
            </w:r>
          </w:p>
          <w:p>
            <w:pPr>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为了降低施工扬尘对施工人员和周围环境的影响，施工过程中应采取有效的防尘和抑尘措施：</w:t>
            </w:r>
          </w:p>
          <w:p>
            <w:pPr>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建设单位应当在施工工地公示扬尘污染防治措施、负责人、扬尘监督管理主管部门等信息</w:t>
            </w:r>
          </w:p>
          <w:p>
            <w:pPr>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（2）采取湿式作业，定期对施工、作业场地及细料堆场进行洒水，以防止浮沉颗粒，在大风日还应适当增加洒水量及洒水次数，有效抑制粉尘；</w:t>
            </w:r>
            <w:r>
              <w:rPr>
                <w:rFonts w:ascii="微软雅黑" w:hAnsi="微软雅黑"/>
                <w:color w:val="000000" w:themeColor="text1"/>
                <w:sz w:val="24"/>
                <w:shd w:val="clear" w:color="auto" w:fill="FFFFFF"/>
                <w14:textFill>
                  <w14:solidFill>
                    <w14:schemeClr w14:val="tx1"/>
                  </w14:solidFill>
                </w14:textFill>
              </w:rPr>
              <w:t>四级以上大风天气，禁止土地平整等作业，并及时洒水防尘或加以覆盖。</w:t>
            </w:r>
          </w:p>
          <w:p>
            <w:pPr>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）选择合理的材料运输设备、装载方式及搬运路线；尽可能减少运输量，以减小运输扬尘影响。</w:t>
            </w:r>
          </w:p>
          <w:p>
            <w:pPr>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）控制细料堆存量，缩短堆存周期，多尘物料应使用帆布覆盖；混凝土采用商品混凝土施工。</w:t>
            </w:r>
          </w:p>
          <w:p>
            <w:pPr>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对于运输车辆，应该安装冲洗车轮的冲洗装置，不能将大量土、泥、碎片等物体带到公共道路上，且运输车辆应该加盖蓬布，严格控制和规范车辆运输量和方式，容易产生粉尘的物料不能够装得高过车辆两边和尾部的挡板，严格控制物料的洒落，以避免因为道路颠簸和大风天气起尘而对沿途的大气环境造成影响。</w:t>
            </w:r>
          </w:p>
          <w:p>
            <w:pPr>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本项目在施工过程中应严格按照《山西省大气污染防治201</w:t>
            </w:r>
            <w:r>
              <w:rPr>
                <w:rFonts w:hint="eastAsia"/>
                <w:color w:val="000000" w:themeColor="text1"/>
                <w:sz w:val="24"/>
                <w14:textFill>
                  <w14:solidFill>
                    <w14:schemeClr w14:val="tx1"/>
                  </w14:solidFill>
                </w14:textFill>
              </w:rPr>
              <w:t>9</w:t>
            </w:r>
            <w:r>
              <w:rPr>
                <w:color w:val="000000" w:themeColor="text1"/>
                <w:sz w:val="24"/>
                <w14:textFill>
                  <w14:solidFill>
                    <w14:schemeClr w14:val="tx1"/>
                  </w14:solidFill>
                </w14:textFill>
              </w:rPr>
              <w:t>年行动计划》进行施工活动，确保做到工地周边围挡、物料堆放覆盖、土方开挖湿法作业、路面硬化、出入车辆清洗、渣土车辆密闭运输“六个百分之百，以减少施工期间的扬尘污染。</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1.2运输车辆及作业机械尾气</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施工机械和汽车运输时所排放的尾气，主要有CO、NOx、THC等大气污染物，会对作业点周围和运输路线两侧局部范围产生一定影响，但影响范围主要局限于施工区内。预计工程施工作业时对局地区域环境空气影响范围仅限于下风向20-30m范围内，不过这种影响时间短，并随施工的完成而消失。其余地区环境空气质量将维持现有水平，所以施工机械尾气对环境空气影响小。</w:t>
            </w:r>
          </w:p>
          <w:p>
            <w:pPr>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采取以上措施后，可有效控制施工扬尘及机械尾气，使其对周围环境的影响较小。</w:t>
            </w:r>
          </w:p>
          <w:p>
            <w:pPr>
              <w:pStyle w:val="69"/>
              <w:spacing w:line="480" w:lineRule="exact"/>
              <w:ind w:firstLine="506"/>
              <w:rPr>
                <w:rFonts w:ascii="Times New Roman" w:hAnsi="Times New Roman"/>
                <w:b/>
                <w:color w:val="000000" w:themeColor="text1"/>
                <w:spacing w:val="6"/>
                <w:sz w:val="24"/>
                <w14:textFill>
                  <w14:solidFill>
                    <w14:schemeClr w14:val="tx1"/>
                  </w14:solidFill>
                </w14:textFill>
              </w:rPr>
            </w:pPr>
            <w:r>
              <w:rPr>
                <w:rFonts w:ascii="Times New Roman" w:hAnsi="Times New Roman"/>
                <w:b/>
                <w:color w:val="000000" w:themeColor="text1"/>
                <w:spacing w:val="6"/>
                <w:sz w:val="24"/>
                <w14:textFill>
                  <w14:solidFill>
                    <w14:schemeClr w14:val="tx1"/>
                  </w14:solidFill>
                </w14:textFill>
              </w:rPr>
              <w:t>2、施工期声环境污染影响分析</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本项目施工期的主要噪声源为运输车辆、钢结构车间搭建、机械设备安装产生的噪声，噪声值可达65-100dB(A)。</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环评要求建设单位采取以下防治措施来减轻噪声对周围环境的影响。</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（1）降低施工设备噪声：要定期对机械设备进行维护和保养，使其一直保持良好的状态，减轻因设备运行状态不佳而造成的噪声污染；对动力机械、设备加强定期检修、养护；</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（2）对位置相对固定的机械设备，能于室内操作的尽量进入操作间，不能进入操作间的，可适当建立单面声障；</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（3）按规定操作机械设备，模板、支架装卸过程中，尽量减少碰撞声音；</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（4）在施工作业中必须合理安排各类施工机械的工作时间</w:t>
            </w:r>
            <w:r>
              <w:rPr>
                <w:color w:val="000000" w:themeColor="text1"/>
                <w:kern w:val="0"/>
                <w:sz w:val="24"/>
                <w14:textFill>
                  <w14:solidFill>
                    <w14:schemeClr w14:val="tx1"/>
                  </w14:solidFill>
                </w14:textFill>
              </w:rPr>
              <w:t>，禁止夜间施工</w:t>
            </w:r>
            <w:r>
              <w:rPr>
                <w:rFonts w:hint="eastAsia"/>
                <w:color w:val="000000" w:themeColor="text1"/>
                <w:kern w:val="0"/>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运输车辆在经过周围村庄时应限制车速，尽量减少鸣笛。</w:t>
            </w:r>
          </w:p>
          <w:p>
            <w:pPr>
              <w:spacing w:line="480" w:lineRule="exact"/>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本项目距离最近的敏感点</w:t>
            </w:r>
            <w:r>
              <w:rPr>
                <w:rFonts w:hint="eastAsia"/>
                <w:color w:val="000000" w:themeColor="text1"/>
                <w:sz w:val="24"/>
                <w14:textFill>
                  <w14:solidFill>
                    <w14:schemeClr w14:val="tx1"/>
                  </w14:solidFill>
                </w14:textFill>
              </w:rPr>
              <w:t>（居民点）为560</w:t>
            </w:r>
            <w:r>
              <w:rPr>
                <w:rFonts w:hint="eastAsia"/>
                <w:bCs/>
                <w:color w:val="000000" w:themeColor="text1"/>
                <w:sz w:val="24"/>
                <w14:textFill>
                  <w14:solidFill>
                    <w14:schemeClr w14:val="tx1"/>
                  </w14:solidFill>
                </w14:textFill>
              </w:rPr>
              <w:t>m</w:t>
            </w:r>
            <w:r>
              <w:rPr>
                <w:color w:val="000000" w:themeColor="text1"/>
                <w:sz w:val="24"/>
                <w14:textFill>
                  <w14:solidFill>
                    <w14:schemeClr w14:val="tx1"/>
                  </w14:solidFill>
                </w14:textFill>
              </w:rPr>
              <w:t>，采取以上噪声防治措施后，不会对周围敏感点产生较大影响。</w:t>
            </w:r>
            <w:r>
              <w:rPr>
                <w:color w:val="000000" w:themeColor="text1"/>
                <w:kern w:val="0"/>
                <w:sz w:val="24"/>
                <w14:textFill>
                  <w14:solidFill>
                    <w14:schemeClr w14:val="tx1"/>
                  </w14:solidFill>
                </w14:textFill>
              </w:rPr>
              <w:t xml:space="preserve"> </w:t>
            </w:r>
          </w:p>
          <w:p>
            <w:pPr>
              <w:pStyle w:val="69"/>
              <w:spacing w:line="480" w:lineRule="exact"/>
              <w:ind w:firstLine="504"/>
              <w:rPr>
                <w:rFonts w:ascii="Times New Roman" w:hAnsi="Times New Roman"/>
                <w:color w:val="000000" w:themeColor="text1"/>
                <w:spacing w:val="6"/>
                <w:sz w:val="24"/>
                <w14:textFill>
                  <w14:solidFill>
                    <w14:schemeClr w14:val="tx1"/>
                  </w14:solidFill>
                </w14:textFill>
              </w:rPr>
            </w:pPr>
            <w:r>
              <w:rPr>
                <w:rFonts w:ascii="Times New Roman" w:hAnsi="Times New Roman"/>
                <w:color w:val="000000" w:themeColor="text1"/>
                <w:spacing w:val="6"/>
                <w:sz w:val="24"/>
                <w14:textFill>
                  <w14:solidFill>
                    <w14:schemeClr w14:val="tx1"/>
                  </w14:solidFill>
                </w14:textFill>
              </w:rPr>
              <w:t>3、</w:t>
            </w:r>
            <w:r>
              <w:rPr>
                <w:rFonts w:ascii="Times New Roman" w:hAnsi="Times New Roman" w:eastAsia="黑体"/>
                <w:color w:val="000000" w:themeColor="text1"/>
                <w:sz w:val="24"/>
                <w14:textFill>
                  <w14:solidFill>
                    <w14:schemeClr w14:val="tx1"/>
                  </w14:solidFill>
                </w14:textFill>
              </w:rPr>
              <w:t>施工期水环境污染影响分析</w:t>
            </w:r>
          </w:p>
          <w:p>
            <w:pPr>
              <w:autoSpaceDE w:val="0"/>
              <w:autoSpaceDN w:val="0"/>
              <w:snapToGrid w:val="0"/>
              <w:spacing w:line="480" w:lineRule="exact"/>
              <w:ind w:firstLine="480" w:firstLineChars="200"/>
              <w:rPr>
                <w:color w:val="000000" w:themeColor="text1"/>
                <w:sz w:val="24"/>
                <w:szCs w:val="20"/>
                <w14:textFill>
                  <w14:solidFill>
                    <w14:schemeClr w14:val="tx1"/>
                  </w14:solidFill>
                </w14:textFill>
              </w:rPr>
            </w:pPr>
            <w:r>
              <w:rPr>
                <w:color w:val="000000" w:themeColor="text1"/>
                <w:sz w:val="24"/>
                <w:szCs w:val="20"/>
                <w14:textFill>
                  <w14:solidFill>
                    <w14:schemeClr w14:val="tx1"/>
                  </w14:solidFill>
                </w14:textFill>
              </w:rPr>
              <w:t>施工机械</w:t>
            </w:r>
            <w:r>
              <w:rPr>
                <w:rFonts w:hint="eastAsia"/>
                <w:color w:val="000000" w:themeColor="text1"/>
                <w:sz w:val="24"/>
                <w:szCs w:val="20"/>
                <w14:textFill>
                  <w14:solidFill>
                    <w14:schemeClr w14:val="tx1"/>
                  </w14:solidFill>
                </w14:textFill>
              </w:rPr>
              <w:t>、车辆轮胎</w:t>
            </w:r>
            <w:r>
              <w:rPr>
                <w:color w:val="000000" w:themeColor="text1"/>
                <w:sz w:val="24"/>
                <w:szCs w:val="20"/>
                <w14:textFill>
                  <w14:solidFill>
                    <w14:schemeClr w14:val="tx1"/>
                  </w14:solidFill>
                </w14:textFill>
              </w:rPr>
              <w:t>冲洗废水主要污染物为COD、SS和石油类，SS浓度可达3000mg/L，石油类浓度可达20mg/L。</w:t>
            </w:r>
            <w:r>
              <w:rPr>
                <w:color w:val="000000" w:themeColor="text1"/>
                <w:sz w:val="24"/>
                <w14:textFill>
                  <w14:solidFill>
                    <w14:schemeClr w14:val="tx1"/>
                  </w14:solidFill>
                </w14:textFill>
              </w:rPr>
              <w:t>施工期设备冲洗水只含有少量泥沙，不含其它杂质，排放量较小，施工现场设</w:t>
            </w:r>
            <w:r>
              <w:rPr>
                <w:rFonts w:hint="eastAsia"/>
                <w:color w:val="000000" w:themeColor="text1"/>
                <w:sz w:val="24"/>
                <w14:textFill>
                  <w14:solidFill>
                    <w14:schemeClr w14:val="tx1"/>
                  </w14:solidFill>
                </w14:textFill>
              </w:rPr>
              <w:t>隔油池+</w:t>
            </w:r>
            <w:r>
              <w:rPr>
                <w:color w:val="000000" w:themeColor="text1"/>
                <w:sz w:val="24"/>
                <w14:textFill>
                  <w14:solidFill>
                    <w14:schemeClr w14:val="tx1"/>
                  </w14:solidFill>
                </w14:textFill>
              </w:rPr>
              <w:t>集水沉淀池收集，经</w:t>
            </w:r>
            <w:r>
              <w:rPr>
                <w:rFonts w:hint="eastAsia"/>
                <w:color w:val="000000" w:themeColor="text1"/>
                <w:sz w:val="24"/>
                <w14:textFill>
                  <w14:solidFill>
                    <w14:schemeClr w14:val="tx1"/>
                  </w14:solidFill>
                </w14:textFill>
              </w:rPr>
              <w:t>隔油</w:t>
            </w:r>
            <w:r>
              <w:rPr>
                <w:color w:val="000000" w:themeColor="text1"/>
                <w:sz w:val="24"/>
                <w14:textFill>
                  <w14:solidFill>
                    <w14:schemeClr w14:val="tx1"/>
                  </w14:solidFill>
                </w14:textFill>
              </w:rPr>
              <w:t>沉淀后用于施工场地洒水抑尘。因此，施工期废水不入河道，对周围环境及地表水环境不会造成大的影响。</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本项目在施工期</w:t>
            </w:r>
            <w:r>
              <w:rPr>
                <w:rFonts w:hint="eastAsia" w:cs="宋体"/>
                <w:color w:val="000000" w:themeColor="text1"/>
                <w:sz w:val="24"/>
                <w14:textFill>
                  <w14:solidFill>
                    <w14:schemeClr w14:val="tx1"/>
                  </w14:solidFill>
                </w14:textFill>
              </w:rPr>
              <w:t>中施工人员生活污水污染以有机污染为主，主要污染物为</w:t>
            </w:r>
            <w:r>
              <w:rPr>
                <w:color w:val="000000" w:themeColor="text1"/>
                <w:sz w:val="24"/>
                <w14:textFill>
                  <w14:solidFill>
                    <w14:schemeClr w14:val="tx1"/>
                  </w14:solidFill>
                </w14:textFill>
              </w:rPr>
              <w:t>COD</w:t>
            </w:r>
            <w:r>
              <w:rPr>
                <w:color w:val="000000" w:themeColor="text1"/>
                <w:sz w:val="24"/>
                <w:vertAlign w:val="subscript"/>
                <w14:textFill>
                  <w14:solidFill>
                    <w14:schemeClr w14:val="tx1"/>
                  </w14:solidFill>
                </w14:textFill>
              </w:rPr>
              <w:t>Cr</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BOD</w:t>
            </w:r>
            <w:r>
              <w:rPr>
                <w:color w:val="000000" w:themeColor="text1"/>
                <w:sz w:val="24"/>
                <w:vertAlign w:val="subscript"/>
                <w14:textFill>
                  <w14:solidFill>
                    <w14:schemeClr w14:val="tx1"/>
                  </w14:solidFill>
                </w14:textFill>
              </w:rPr>
              <w:t>5</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SS</w:t>
            </w:r>
            <w:r>
              <w:rPr>
                <w:rFonts w:hint="eastAsia" w:cs="宋体"/>
                <w:color w:val="000000" w:themeColor="text1"/>
                <w:sz w:val="24"/>
                <w14:textFill>
                  <w14:solidFill>
                    <w14:schemeClr w14:val="tx1"/>
                  </w14:solidFill>
                </w14:textFill>
              </w:rPr>
              <w:t>、氨氮等。</w:t>
            </w:r>
            <w:r>
              <w:rPr>
                <w:color w:val="000000" w:themeColor="text1"/>
                <w:sz w:val="24"/>
                <w14:textFill>
                  <w14:solidFill>
                    <w14:schemeClr w14:val="tx1"/>
                  </w14:solidFill>
                </w14:textFill>
              </w:rPr>
              <w:t>其产生的生活污水成分简单经沉淀池收集并沉淀后，用于工地洒水抑尘不外排。</w:t>
            </w:r>
          </w:p>
          <w:p>
            <w:pPr>
              <w:pStyle w:val="69"/>
              <w:spacing w:line="480" w:lineRule="exact"/>
              <w:ind w:firstLine="504"/>
              <w:rPr>
                <w:rFonts w:ascii="Times New Roman" w:hAnsi="Times New Roman"/>
                <w:color w:val="000000" w:themeColor="text1"/>
                <w:spacing w:val="6"/>
                <w:sz w:val="24"/>
                <w14:textFill>
                  <w14:solidFill>
                    <w14:schemeClr w14:val="tx1"/>
                  </w14:solidFill>
                </w14:textFill>
              </w:rPr>
            </w:pPr>
            <w:r>
              <w:rPr>
                <w:rFonts w:ascii="Times New Roman" w:hAnsi="Times New Roman"/>
                <w:color w:val="000000" w:themeColor="text1"/>
                <w:spacing w:val="6"/>
                <w:sz w:val="24"/>
                <w14:textFill>
                  <w14:solidFill>
                    <w14:schemeClr w14:val="tx1"/>
                  </w14:solidFill>
                </w14:textFill>
              </w:rPr>
              <w:t>4、</w:t>
            </w:r>
            <w:r>
              <w:rPr>
                <w:rFonts w:ascii="Times New Roman" w:hAnsi="Times New Roman" w:eastAsia="黑体"/>
                <w:color w:val="000000" w:themeColor="text1"/>
                <w:sz w:val="24"/>
                <w14:textFill>
                  <w14:solidFill>
                    <w14:schemeClr w14:val="tx1"/>
                  </w14:solidFill>
                </w14:textFill>
              </w:rPr>
              <w:t>施工期固体废物环境污染影响分析</w:t>
            </w:r>
          </w:p>
          <w:p>
            <w:pPr>
              <w:pStyle w:val="69"/>
              <w:spacing w:line="480" w:lineRule="exact"/>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施工期产生的固体废物主要为建筑垃圾和生活垃圾。施工中建筑垃圾主要是灰浆、废材料等，应由企业统一处理，及时清运</w:t>
            </w:r>
            <w:r>
              <w:rPr>
                <w:rFonts w:hint="eastAsia"/>
                <w:color w:val="000000" w:themeColor="text1"/>
                <w:spacing w:val="2"/>
                <w:sz w:val="24"/>
                <w14:textFill>
                  <w14:solidFill>
                    <w14:schemeClr w14:val="tx1"/>
                  </w14:solidFill>
                </w14:textFill>
              </w:rPr>
              <w:t>至指定的建筑垃圾填埋场，不在施工场地随意堆放，</w:t>
            </w:r>
            <w:r>
              <w:rPr>
                <w:color w:val="000000" w:themeColor="text1"/>
                <w:spacing w:val="2"/>
                <w:sz w:val="24"/>
                <w14:textFill>
                  <w14:solidFill>
                    <w14:schemeClr w14:val="tx1"/>
                  </w14:solidFill>
                </w14:textFill>
              </w:rPr>
              <w:t>对环境影响较小</w:t>
            </w:r>
            <w:r>
              <w:rPr>
                <w:rFonts w:ascii="Times New Roman" w:hAnsi="Times New Roman"/>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生活垃圾以有机污染物为主，少量以无机污染物为主，随意堆放将影响周围环境。施工现场应设垃圾桶，将产生的生活垃圾收集后</w:t>
            </w:r>
            <w:r>
              <w:rPr>
                <w:rFonts w:hint="eastAsia"/>
                <w:color w:val="000000" w:themeColor="text1"/>
                <w:sz w:val="24"/>
                <w14:textFill>
                  <w14:solidFill>
                    <w14:schemeClr w14:val="tx1"/>
                  </w14:solidFill>
                </w14:textFill>
              </w:rPr>
              <w:t>定期</w:t>
            </w:r>
            <w:r>
              <w:rPr>
                <w:rFonts w:hint="eastAsia"/>
                <w:color w:val="000000" w:themeColor="text1"/>
                <w:spacing w:val="6"/>
                <w:sz w:val="24"/>
                <w14:textFill>
                  <w14:solidFill>
                    <w14:schemeClr w14:val="tx1"/>
                  </w14:solidFill>
                </w14:textFill>
              </w:rPr>
              <w:t>送当地垃圾填埋场进行填埋处置</w:t>
            </w:r>
            <w:r>
              <w:rPr>
                <w:color w:val="000000" w:themeColor="text1"/>
                <w:sz w:val="24"/>
                <w14:textFill>
                  <w14:solidFill>
                    <w14:schemeClr w14:val="tx1"/>
                  </w14:solidFill>
                </w14:textFill>
              </w:rPr>
              <w:t>，对环境影响较小。</w:t>
            </w:r>
          </w:p>
          <w:p>
            <w:pPr>
              <w:pStyle w:val="69"/>
              <w:spacing w:line="480" w:lineRule="exact"/>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施工过程中产生的污染都是暂时的，随着施工过程的结束，该污染也将消失。</w:t>
            </w:r>
          </w:p>
          <w:p>
            <w:pPr>
              <w:pStyle w:val="69"/>
              <w:spacing w:line="480" w:lineRule="exact"/>
              <w:ind w:firstLine="480"/>
              <w:rPr>
                <w:rFonts w:ascii="Times New Roman" w:hAnsi="Times New Roman"/>
                <w:color w:val="000000" w:themeColor="text1"/>
                <w:sz w:val="24"/>
                <w14:textFill>
                  <w14:solidFill>
                    <w14:schemeClr w14:val="tx1"/>
                  </w14:solidFill>
                </w14:textFill>
              </w:rPr>
            </w:pPr>
          </w:p>
          <w:p>
            <w:pPr>
              <w:pStyle w:val="69"/>
              <w:spacing w:line="480" w:lineRule="exact"/>
              <w:ind w:firstLine="480"/>
              <w:rPr>
                <w:rFonts w:ascii="Times New Roman" w:hAnsi="Times New Roman"/>
                <w:color w:val="000000" w:themeColor="text1"/>
                <w:sz w:val="24"/>
                <w14:textFill>
                  <w14:solidFill>
                    <w14:schemeClr w14:val="tx1"/>
                  </w14:solidFill>
                </w14:textFill>
              </w:rPr>
            </w:pPr>
          </w:p>
          <w:p>
            <w:pPr>
              <w:pStyle w:val="69"/>
              <w:spacing w:line="480" w:lineRule="exact"/>
              <w:ind w:firstLine="480"/>
              <w:rPr>
                <w:rFonts w:ascii="Times New Roman" w:hAnsi="Times New Roman"/>
                <w:color w:val="000000" w:themeColor="text1"/>
                <w:sz w:val="24"/>
                <w14:textFill>
                  <w14:solidFill>
                    <w14:schemeClr w14:val="tx1"/>
                  </w14:solidFill>
                </w14:textFill>
              </w:rPr>
            </w:pPr>
          </w:p>
          <w:p>
            <w:pPr>
              <w:pStyle w:val="69"/>
              <w:spacing w:line="480" w:lineRule="exact"/>
              <w:ind w:firstLine="480"/>
              <w:rPr>
                <w:rFonts w:ascii="Times New Roman" w:hAnsi="Times New Roman"/>
                <w:color w:val="000000" w:themeColor="text1"/>
                <w:sz w:val="24"/>
                <w14:textFill>
                  <w14:solidFill>
                    <w14:schemeClr w14:val="tx1"/>
                  </w14:solidFill>
                </w14:textFill>
              </w:rPr>
            </w:pPr>
          </w:p>
          <w:p>
            <w:pPr>
              <w:pStyle w:val="69"/>
              <w:spacing w:line="480" w:lineRule="exact"/>
              <w:ind w:firstLine="480"/>
              <w:rPr>
                <w:rFonts w:ascii="Times New Roman" w:hAnsi="Times New Roman"/>
                <w:color w:val="000000" w:themeColor="text1"/>
                <w:sz w:val="24"/>
                <w14:textFill>
                  <w14:solidFill>
                    <w14:schemeClr w14:val="tx1"/>
                  </w14:solidFill>
                </w14:textFill>
              </w:rPr>
            </w:pPr>
          </w:p>
          <w:p>
            <w:pPr>
              <w:pStyle w:val="18"/>
              <w:spacing w:line="480" w:lineRule="exact"/>
              <w:ind w:firstLine="0" w:firstLineChars="0"/>
              <w:jc w:val="left"/>
              <w:rPr>
                <w:bCs/>
                <w:color w:val="000000" w:themeColor="text1"/>
                <w:kern w:val="2"/>
                <w:szCs w:val="28"/>
                <w14:textFill>
                  <w14:solidFill>
                    <w14:schemeClr w14:val="tx1"/>
                  </w14:solidFill>
                </w14:textFill>
              </w:rPr>
            </w:pPr>
          </w:p>
          <w:p>
            <w:pPr>
              <w:pStyle w:val="18"/>
              <w:spacing w:line="480" w:lineRule="exact"/>
              <w:ind w:firstLine="0" w:firstLineChars="0"/>
              <w:jc w:val="left"/>
              <w:rPr>
                <w:bCs/>
                <w:color w:val="000000" w:themeColor="text1"/>
                <w:kern w:val="2"/>
                <w:szCs w:val="28"/>
                <w14:textFill>
                  <w14:solidFill>
                    <w14:schemeClr w14:val="tx1"/>
                  </w14:solidFill>
                </w14:textFill>
              </w:rPr>
            </w:pPr>
          </w:p>
          <w:p>
            <w:pPr>
              <w:pStyle w:val="18"/>
              <w:spacing w:line="480" w:lineRule="exact"/>
              <w:ind w:firstLine="0" w:firstLineChars="0"/>
              <w:jc w:val="left"/>
              <w:rPr>
                <w:bCs/>
                <w:color w:val="000000" w:themeColor="text1"/>
                <w:kern w:val="2"/>
                <w:szCs w:val="28"/>
                <w14:textFill>
                  <w14:solidFill>
                    <w14:schemeClr w14:val="tx1"/>
                  </w14:solidFill>
                </w14:textFill>
              </w:rPr>
            </w:pPr>
          </w:p>
          <w:p>
            <w:pPr>
              <w:pStyle w:val="18"/>
              <w:spacing w:line="480" w:lineRule="exact"/>
              <w:ind w:firstLine="0" w:firstLineChars="0"/>
              <w:jc w:val="left"/>
              <w:rPr>
                <w:bCs/>
                <w:color w:val="000000" w:themeColor="text1"/>
                <w:kern w:val="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93" w:hRule="atLeast"/>
          <w:jc w:val="center"/>
        </w:trPr>
        <w:tc>
          <w:tcPr>
            <w:tcW w:w="9256" w:type="dxa"/>
          </w:tcPr>
          <w:p>
            <w:pPr>
              <w:spacing w:line="480" w:lineRule="exact"/>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营运期环境影响分析：</w:t>
            </w:r>
          </w:p>
          <w:p>
            <w:pPr>
              <w:spacing w:line="480" w:lineRule="exact"/>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1、大气污染影响分析</w:t>
            </w:r>
          </w:p>
          <w:p>
            <w:pPr>
              <w:adjustRightInd w:val="0"/>
              <w:snapToGrid w:val="0"/>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（1）原料及成品</w:t>
            </w:r>
            <w:r>
              <w:rPr>
                <w:color w:val="000000" w:themeColor="text1"/>
                <w:sz w:val="24"/>
                <w14:textFill>
                  <w14:solidFill>
                    <w14:schemeClr w14:val="tx1"/>
                  </w14:solidFill>
                </w14:textFill>
              </w:rPr>
              <w:t>运输过程中产生的粉尘</w:t>
            </w:r>
            <w:r>
              <w:rPr>
                <w:rFonts w:hint="eastAsia"/>
                <w:color w:val="000000" w:themeColor="text1"/>
                <w:sz w:val="24"/>
                <w14:textFill>
                  <w14:solidFill>
                    <w14:schemeClr w14:val="tx1"/>
                  </w14:solidFill>
                </w14:textFill>
              </w:rPr>
              <w:t>G1</w:t>
            </w:r>
          </w:p>
          <w:p>
            <w:pPr>
              <w:spacing w:before="50" w:line="480" w:lineRule="exact"/>
              <w:ind w:firstLine="496" w:firstLineChars="200"/>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原料进厂和产品出厂均采用汽车运输，物料在运输过程中将产生道路扬尘</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本项目厂区东侧紧邻乡村道路，长度取100m。</w:t>
            </w:r>
          </w:p>
          <w:p>
            <w:pPr>
              <w:spacing w:before="50" w:line="480" w:lineRule="exact"/>
              <w:ind w:firstLine="496" w:firstLineChars="200"/>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运输起尘采用下述经验公式进行计算：</w:t>
            </w:r>
          </w:p>
          <w:p>
            <w:pPr>
              <w:spacing w:before="50" w:line="480" w:lineRule="exact"/>
              <w:ind w:firstLine="2040" w:firstLineChars="8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Q</w:t>
            </w:r>
            <w:r>
              <w:rPr>
                <w:color w:val="000000" w:themeColor="text1"/>
                <w:sz w:val="24"/>
                <w:vertAlign w:val="subscript"/>
                <w14:textFill>
                  <w14:solidFill>
                    <w14:schemeClr w14:val="tx1"/>
                  </w14:solidFill>
                </w14:textFill>
              </w:rPr>
              <w:t>p</w:t>
            </w:r>
            <w:r>
              <w:rPr>
                <w:color w:val="000000" w:themeColor="text1"/>
                <w:sz w:val="24"/>
                <w14:textFill>
                  <w14:solidFill>
                    <w14:schemeClr w14:val="tx1"/>
                  </w14:solidFill>
                </w14:textFill>
              </w:rPr>
              <w:t>=0.123(V/5)·(M/6.8)</w:t>
            </w:r>
            <w:r>
              <w:rPr>
                <w:color w:val="000000" w:themeColor="text1"/>
                <w:sz w:val="24"/>
                <w:vertAlign w:val="superscript"/>
                <w14:textFill>
                  <w14:solidFill>
                    <w14:schemeClr w14:val="tx1"/>
                  </w14:solidFill>
                </w14:textFill>
              </w:rPr>
              <w:t>0.85</w:t>
            </w:r>
            <w:r>
              <w:rPr>
                <w:color w:val="000000" w:themeColor="text1"/>
                <w:sz w:val="24"/>
                <w14:textFill>
                  <w14:solidFill>
                    <w14:schemeClr w14:val="tx1"/>
                  </w14:solidFill>
                </w14:textFill>
              </w:rPr>
              <w:t>·(P/0.5)</w:t>
            </w:r>
            <w:r>
              <w:rPr>
                <w:color w:val="000000" w:themeColor="text1"/>
                <w:sz w:val="24"/>
                <w:vertAlign w:val="superscript"/>
                <w14:textFill>
                  <w14:solidFill>
                    <w14:schemeClr w14:val="tx1"/>
                  </w14:solidFill>
                </w14:textFill>
              </w:rPr>
              <w:t>0.72</w:t>
            </w:r>
            <w:r>
              <w:rPr>
                <w:color w:val="000000" w:themeColor="text1"/>
                <w:sz w:val="24"/>
                <w14:textFill>
                  <w14:solidFill>
                    <w14:schemeClr w14:val="tx1"/>
                  </w14:solidFill>
                </w14:textFill>
              </w:rPr>
              <w:t xml:space="preserve"> </w:t>
            </w:r>
          </w:p>
          <w:p>
            <w:pPr>
              <w:spacing w:before="50" w:after="156" w:afterLines="50" w:line="480" w:lineRule="exact"/>
              <w:ind w:firstLine="2040" w:firstLineChars="850"/>
              <w:jc w:val="left"/>
              <w:rPr>
                <w:color w:val="000000" w:themeColor="text1"/>
                <w:sz w:val="24"/>
                <w:lang w:val="es-VE"/>
                <w14:textFill>
                  <w14:solidFill>
                    <w14:schemeClr w14:val="tx1"/>
                  </w14:solidFill>
                </w14:textFill>
              </w:rPr>
            </w:pPr>
            <w:r>
              <w:rPr>
                <w:color w:val="000000" w:themeColor="text1"/>
                <w:sz w:val="24"/>
                <w:lang w:val="es-VE"/>
                <w14:textFill>
                  <w14:solidFill>
                    <w14:schemeClr w14:val="tx1"/>
                  </w14:solidFill>
                </w14:textFill>
              </w:rPr>
              <w:t>Q</w:t>
            </w:r>
            <w:r>
              <w:rPr>
                <w:color w:val="000000" w:themeColor="text1"/>
                <w:sz w:val="24"/>
                <w14:textFill>
                  <w14:solidFill>
                    <w14:schemeClr w14:val="tx1"/>
                  </w14:solidFill>
                </w14:textFill>
              </w:rPr>
              <w:t>′</w:t>
            </w:r>
            <w:r>
              <w:rPr>
                <w:color w:val="000000" w:themeColor="text1"/>
                <w:sz w:val="24"/>
                <w:vertAlign w:val="subscript"/>
                <w:lang w:val="es-VE"/>
                <w14:textFill>
                  <w14:solidFill>
                    <w14:schemeClr w14:val="tx1"/>
                  </w14:solidFill>
                </w14:textFill>
              </w:rPr>
              <w:t>p</w:t>
            </w:r>
            <w:r>
              <w:rPr>
                <w:color w:val="000000" w:themeColor="text1"/>
                <w:sz w:val="24"/>
                <w:lang w:val="es-VE"/>
                <w14:textFill>
                  <w14:solidFill>
                    <w14:schemeClr w14:val="tx1"/>
                  </w14:solidFill>
                </w14:textFill>
              </w:rPr>
              <w:t>=Q</w:t>
            </w:r>
            <w:r>
              <w:rPr>
                <w:color w:val="000000" w:themeColor="text1"/>
                <w:sz w:val="24"/>
                <w:vertAlign w:val="subscript"/>
                <w:lang w:val="es-VE"/>
                <w14:textFill>
                  <w14:solidFill>
                    <w14:schemeClr w14:val="tx1"/>
                  </w14:solidFill>
                </w14:textFill>
              </w:rPr>
              <w:t>p</w:t>
            </w:r>
            <w:r>
              <w:rPr>
                <w:color w:val="000000" w:themeColor="text1"/>
                <w:sz w:val="24"/>
                <w:lang w:val="es-VE"/>
                <w14:textFill>
                  <w14:solidFill>
                    <w14:schemeClr w14:val="tx1"/>
                  </w14:solidFill>
                </w14:textFill>
              </w:rPr>
              <w:t>·L·Q/M</w:t>
            </w:r>
          </w:p>
          <w:p>
            <w:pPr>
              <w:spacing w:line="480" w:lineRule="exact"/>
              <w:ind w:firstLine="558" w:firstLineChars="225"/>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式中：Q</w:t>
            </w:r>
            <w:r>
              <w:rPr>
                <w:color w:val="000000" w:themeColor="text1"/>
                <w:spacing w:val="4"/>
                <w:sz w:val="24"/>
                <w:vertAlign w:val="subscript"/>
                <w14:textFill>
                  <w14:solidFill>
                    <w14:schemeClr w14:val="tx1"/>
                  </w14:solidFill>
                </w14:textFill>
              </w:rPr>
              <w:t>p</w:t>
            </w:r>
            <w:r>
              <w:rPr>
                <w:color w:val="000000" w:themeColor="text1"/>
                <w:spacing w:val="4"/>
                <w:sz w:val="24"/>
                <w14:textFill>
                  <w14:solidFill>
                    <w14:schemeClr w14:val="tx1"/>
                  </w14:solidFill>
                </w14:textFill>
              </w:rPr>
              <w:t>——交通运输起尘量，kg/km辆；</w:t>
            </w:r>
          </w:p>
          <w:p>
            <w:pPr>
              <w:spacing w:line="480" w:lineRule="exact"/>
              <w:ind w:firstLine="1264" w:firstLineChars="527"/>
              <w:jc w:val="left"/>
              <w:rPr>
                <w:color w:val="000000" w:themeColor="text1"/>
                <w:spacing w:val="4"/>
                <w:sz w:val="24"/>
                <w14:textFill>
                  <w14:solidFill>
                    <w14:schemeClr w14:val="tx1"/>
                  </w14:solidFill>
                </w14:textFill>
              </w:rPr>
            </w:pPr>
            <w:r>
              <w:rPr>
                <w:color w:val="000000" w:themeColor="text1"/>
                <w:sz w:val="24"/>
                <w:lang w:val="es-VE"/>
                <w14:textFill>
                  <w14:solidFill>
                    <w14:schemeClr w14:val="tx1"/>
                  </w14:solidFill>
                </w14:textFill>
              </w:rPr>
              <w:t>Q</w:t>
            </w:r>
            <w:r>
              <w:rPr>
                <w:color w:val="000000" w:themeColor="text1"/>
                <w:sz w:val="24"/>
                <w14:textFill>
                  <w14:solidFill>
                    <w14:schemeClr w14:val="tx1"/>
                  </w14:solidFill>
                </w14:textFill>
              </w:rPr>
              <w:t>′</w:t>
            </w:r>
            <w:r>
              <w:rPr>
                <w:color w:val="000000" w:themeColor="text1"/>
                <w:sz w:val="24"/>
                <w:vertAlign w:val="subscript"/>
                <w:lang w:val="es-VE"/>
                <w14:textFill>
                  <w14:solidFill>
                    <w14:schemeClr w14:val="tx1"/>
                  </w14:solidFill>
                </w14:textFill>
              </w:rPr>
              <w:t>p</w:t>
            </w:r>
            <w:r>
              <w:rPr>
                <w:color w:val="000000" w:themeColor="text1"/>
                <w:spacing w:val="4"/>
                <w:sz w:val="24"/>
                <w14:textFill>
                  <w14:solidFill>
                    <w14:schemeClr w14:val="tx1"/>
                  </w14:solidFill>
                </w14:textFill>
              </w:rPr>
              <w:t>——运输途中起尘量，kg/a；</w:t>
            </w:r>
          </w:p>
          <w:p>
            <w:pPr>
              <w:adjustRightInd w:val="0"/>
              <w:snapToGrid w:val="0"/>
              <w:spacing w:line="480" w:lineRule="exact"/>
              <w:ind w:firstLine="558" w:firstLineChars="225"/>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 xml:space="preserve">      V——车辆行驶速度，km/h；</w:t>
            </w:r>
          </w:p>
          <w:p>
            <w:pPr>
              <w:adjustRightInd w:val="0"/>
              <w:snapToGrid w:val="0"/>
              <w:spacing w:line="480" w:lineRule="exact"/>
              <w:ind w:firstLine="558" w:firstLineChars="225"/>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 xml:space="preserve">      M——车辆载重，t/辆；</w:t>
            </w:r>
          </w:p>
          <w:p>
            <w:pPr>
              <w:adjustRightInd w:val="0"/>
              <w:snapToGrid w:val="0"/>
              <w:spacing w:line="480" w:lineRule="exact"/>
              <w:ind w:firstLine="558" w:firstLineChars="225"/>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 xml:space="preserve">      P——路面状况，以每平方米路面灰尘覆盖率表示，kg/m</w:t>
            </w:r>
            <w:r>
              <w:rPr>
                <w:color w:val="000000" w:themeColor="text1"/>
                <w:spacing w:val="4"/>
                <w:sz w:val="24"/>
                <w:vertAlign w:val="superscript"/>
                <w14:textFill>
                  <w14:solidFill>
                    <w14:schemeClr w14:val="tx1"/>
                  </w14:solidFill>
                </w14:textFill>
              </w:rPr>
              <w:t>2</w:t>
            </w:r>
            <w:r>
              <w:rPr>
                <w:color w:val="000000" w:themeColor="text1"/>
                <w:spacing w:val="4"/>
                <w:sz w:val="24"/>
                <w14:textFill>
                  <w14:solidFill>
                    <w14:schemeClr w14:val="tx1"/>
                  </w14:solidFill>
                </w14:textFill>
              </w:rPr>
              <w:t>；</w:t>
            </w:r>
          </w:p>
          <w:p>
            <w:pPr>
              <w:adjustRightInd w:val="0"/>
              <w:snapToGrid w:val="0"/>
              <w:spacing w:line="480" w:lineRule="exact"/>
              <w:ind w:firstLine="558" w:firstLineChars="225"/>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 xml:space="preserve">      L——运输距离，km；</w:t>
            </w:r>
          </w:p>
          <w:p>
            <w:pPr>
              <w:adjustRightInd w:val="0"/>
              <w:snapToGrid w:val="0"/>
              <w:spacing w:line="480" w:lineRule="exact"/>
              <w:ind w:firstLine="558" w:firstLineChars="225"/>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 xml:space="preserve">      Q——运输量，t/a；</w:t>
            </w:r>
          </w:p>
          <w:p>
            <w:pPr>
              <w:spacing w:before="50" w:line="480" w:lineRule="exact"/>
              <w:ind w:firstLine="496" w:firstLineChars="200"/>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运输过程各路段起尘量估算见表</w:t>
            </w:r>
            <w:r>
              <w:rPr>
                <w:rFonts w:hint="eastAsia"/>
                <w:color w:val="000000" w:themeColor="text1"/>
                <w:spacing w:val="4"/>
                <w:sz w:val="24"/>
                <w14:textFill>
                  <w14:solidFill>
                    <w14:schemeClr w14:val="tx1"/>
                  </w14:solidFill>
                </w14:textFill>
              </w:rPr>
              <w:t>7-3</w:t>
            </w:r>
            <w:r>
              <w:rPr>
                <w:color w:val="000000" w:themeColor="text1"/>
                <w:spacing w:val="4"/>
                <w:sz w:val="24"/>
                <w14:textFill>
                  <w14:solidFill>
                    <w14:schemeClr w14:val="tx1"/>
                  </w14:solidFill>
                </w14:textFill>
              </w:rPr>
              <w:t>。</w:t>
            </w:r>
          </w:p>
          <w:p>
            <w:pPr>
              <w:spacing w:before="50" w:line="480" w:lineRule="exact"/>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7-3</w:t>
            </w:r>
            <w:r>
              <w:rPr>
                <w:b/>
                <w:color w:val="000000" w:themeColor="text1"/>
                <w:sz w:val="24"/>
                <w14:textFill>
                  <w14:solidFill>
                    <w14:schemeClr w14:val="tx1"/>
                  </w14:solidFill>
                </w14:textFill>
              </w:rPr>
              <w:t xml:space="preserve">  运输过程各路段起尘量估算</w:t>
            </w:r>
          </w:p>
          <w:tbl>
            <w:tblPr>
              <w:tblStyle w:val="32"/>
              <w:tblW w:w="4998"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27"/>
              <w:gridCol w:w="1138"/>
              <w:gridCol w:w="1024"/>
              <w:gridCol w:w="1151"/>
              <w:gridCol w:w="1021"/>
              <w:gridCol w:w="1160"/>
              <w:gridCol w:w="1084"/>
              <w:gridCol w:w="1200"/>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PrEx>
              <w:trPr>
                <w:cantSplit/>
                <w:trHeight w:val="340" w:hRule="atLeast"/>
                <w:jc w:val="center"/>
              </w:trPr>
              <w:tc>
                <w:tcPr>
                  <w:tcW w:w="820"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路段</w:t>
                  </w:r>
                </w:p>
              </w:tc>
              <w:tc>
                <w:tcPr>
                  <w:tcW w:w="611" w:type="pct"/>
                  <w:tcBorders>
                    <w:tl2br w:val="nil"/>
                    <w:tr2bl w:val="nil"/>
                  </w:tcBorders>
                  <w:vAlign w:val="center"/>
                </w:tcPr>
                <w:p>
                  <w:pPr>
                    <w:tabs>
                      <w:tab w:val="left" w:pos="522"/>
                    </w:tabs>
                    <w:ind w:left="-107" w:leftChars="-5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货物</w:t>
                  </w:r>
                </w:p>
              </w:tc>
              <w:tc>
                <w:tcPr>
                  <w:tcW w:w="550" w:type="pct"/>
                  <w:tcBorders>
                    <w:tl2br w:val="nil"/>
                    <w:tr2bl w:val="nil"/>
                  </w:tcBorders>
                  <w:vAlign w:val="center"/>
                </w:tcPr>
                <w:p>
                  <w:pPr>
                    <w:ind w:left="-107" w:leftChars="-51" w:right="-92" w:rightChars="-44" w:firstLine="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w:t>
                  </w:r>
                </w:p>
                <w:p>
                  <w:pPr>
                    <w:ind w:left="-107" w:leftChars="-51" w:right="-92" w:rightChars="-44" w:firstLine="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（kg/m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w:t>
                  </w:r>
                </w:p>
              </w:tc>
              <w:tc>
                <w:tcPr>
                  <w:tcW w:w="618" w:type="pct"/>
                  <w:tcBorders>
                    <w:tl2br w:val="nil"/>
                    <w:tr2bl w:val="nil"/>
                  </w:tcBorders>
                  <w:vAlign w:val="center"/>
                </w:tcPr>
                <w:p>
                  <w:pPr>
                    <w:ind w:leftChars="-38" w:hanging="79" w:hangingChars="38"/>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V</w:t>
                  </w:r>
                </w:p>
                <w:p>
                  <w:pPr>
                    <w:ind w:right="-99" w:rightChars="-47"/>
                    <w:rPr>
                      <w:color w:val="000000" w:themeColor="text1"/>
                      <w:szCs w:val="21"/>
                      <w14:textFill>
                        <w14:solidFill>
                          <w14:schemeClr w14:val="tx1"/>
                        </w14:solidFill>
                      </w14:textFill>
                    </w:rPr>
                  </w:pPr>
                  <w:r>
                    <w:rPr>
                      <w:color w:val="000000" w:themeColor="text1"/>
                      <w:szCs w:val="21"/>
                      <w14:textFill>
                        <w14:solidFill>
                          <w14:schemeClr w14:val="tx1"/>
                        </w14:solidFill>
                      </w14:textFill>
                    </w:rPr>
                    <w:t>（km/h）</w:t>
                  </w:r>
                </w:p>
              </w:tc>
              <w:tc>
                <w:tcPr>
                  <w:tcW w:w="548"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（t/辆）</w:t>
                  </w:r>
                </w:p>
              </w:tc>
              <w:tc>
                <w:tcPr>
                  <w:tcW w:w="62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Q</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（万t/a）</w:t>
                  </w:r>
                </w:p>
              </w:tc>
              <w:tc>
                <w:tcPr>
                  <w:tcW w:w="582"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（km）</w:t>
                  </w:r>
                </w:p>
              </w:tc>
              <w:tc>
                <w:tcPr>
                  <w:tcW w:w="64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lang w:val="es-VE"/>
                      <w14:textFill>
                        <w14:solidFill>
                          <w14:schemeClr w14:val="tx1"/>
                        </w14:solidFill>
                      </w14:textFill>
                    </w:rPr>
                    <w:t>Q</w:t>
                  </w:r>
                  <w:r>
                    <w:rPr>
                      <w:color w:val="000000" w:themeColor="text1"/>
                      <w:szCs w:val="21"/>
                      <w14:textFill>
                        <w14:solidFill>
                          <w14:schemeClr w14:val="tx1"/>
                        </w14:solidFill>
                      </w14:textFill>
                    </w:rPr>
                    <w:t>′</w:t>
                  </w:r>
                  <w:r>
                    <w:rPr>
                      <w:color w:val="000000" w:themeColor="text1"/>
                      <w:szCs w:val="21"/>
                      <w:vertAlign w:val="subscript"/>
                      <w:lang w:val="es-VE"/>
                      <w14:textFill>
                        <w14:solidFill>
                          <w14:schemeClr w14:val="tx1"/>
                        </w14:solidFill>
                      </w14:textFill>
                    </w:rPr>
                    <w:t>p</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t</w:t>
                  </w:r>
                  <w:r>
                    <w:rPr>
                      <w:color w:val="000000" w:themeColor="text1"/>
                      <w:szCs w:val="21"/>
                      <w14:textFill>
                        <w14:solidFill>
                          <w14:schemeClr w14:val="tx1"/>
                        </w14:solidFill>
                      </w14:textFill>
                    </w:rPr>
                    <w:t>/a）</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PrEx>
              <w:trPr>
                <w:cantSplit/>
                <w:trHeight w:val="340" w:hRule="atLeast"/>
                <w:jc w:val="center"/>
              </w:trPr>
              <w:tc>
                <w:tcPr>
                  <w:tcW w:w="820" w:type="pct"/>
                  <w:tcBorders>
                    <w:tl2br w:val="nil"/>
                    <w:tr2bl w:val="nil"/>
                  </w:tcBorders>
                  <w:vAlign w:val="center"/>
                </w:tcPr>
                <w:p>
                  <w:pPr>
                    <w:ind w:left="-99" w:leftChars="-47" w:right="-107" w:rightChars="-51"/>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进出</w:t>
                  </w:r>
                  <w:r>
                    <w:rPr>
                      <w:color w:val="000000" w:themeColor="text1"/>
                      <w:szCs w:val="21"/>
                      <w14:textFill>
                        <w14:solidFill>
                          <w14:schemeClr w14:val="tx1"/>
                        </w14:solidFill>
                      </w14:textFill>
                    </w:rPr>
                    <w:t>厂</w:t>
                  </w:r>
                  <w:r>
                    <w:rPr>
                      <w:rFonts w:hint="eastAsia"/>
                      <w:color w:val="000000" w:themeColor="text1"/>
                      <w:szCs w:val="21"/>
                      <w14:textFill>
                        <w14:solidFill>
                          <w14:schemeClr w14:val="tx1"/>
                        </w14:solidFill>
                      </w14:textFill>
                    </w:rPr>
                    <w:t>道</w:t>
                  </w:r>
                  <w:r>
                    <w:rPr>
                      <w:color w:val="000000" w:themeColor="text1"/>
                      <w:szCs w:val="21"/>
                      <w14:textFill>
                        <w14:solidFill>
                          <w14:schemeClr w14:val="tx1"/>
                        </w14:solidFill>
                      </w14:textFill>
                    </w:rPr>
                    <w:t>路</w:t>
                  </w:r>
                </w:p>
                <w:p>
                  <w:pPr>
                    <w:ind w:left="-99" w:leftChars="-47" w:right="-107" w:rightChars="-51"/>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（约1</w:t>
                  </w:r>
                  <w:r>
                    <w:rPr>
                      <w:color w:val="000000" w:themeColor="text1"/>
                      <w:szCs w:val="21"/>
                      <w14:textFill>
                        <w14:solidFill>
                          <w14:schemeClr w14:val="tx1"/>
                        </w14:solidFill>
                      </w14:textFill>
                    </w:rPr>
                    <w:t>00m</w:t>
                  </w:r>
                  <w:r>
                    <w:rPr>
                      <w:rFonts w:hint="eastAsia"/>
                      <w:color w:val="000000" w:themeColor="text1"/>
                      <w:szCs w:val="21"/>
                      <w14:textFill>
                        <w14:solidFill>
                          <w14:schemeClr w14:val="tx1"/>
                        </w14:solidFill>
                      </w14:textFill>
                    </w:rPr>
                    <w:t>）</w:t>
                  </w:r>
                </w:p>
              </w:tc>
              <w:tc>
                <w:tcPr>
                  <w:tcW w:w="61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原料、</w:t>
                  </w:r>
                  <w:r>
                    <w:rPr>
                      <w:color w:val="000000" w:themeColor="text1"/>
                      <w:szCs w:val="21"/>
                      <w14:textFill>
                        <w14:solidFill>
                          <w14:schemeClr w14:val="tx1"/>
                        </w14:solidFill>
                      </w14:textFill>
                    </w:rPr>
                    <w:t>产品</w:t>
                  </w:r>
                </w:p>
              </w:tc>
              <w:tc>
                <w:tcPr>
                  <w:tcW w:w="550"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0.05</w:t>
                  </w:r>
                </w:p>
              </w:tc>
              <w:tc>
                <w:tcPr>
                  <w:tcW w:w="61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4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62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58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0.1</w:t>
                  </w:r>
                </w:p>
              </w:tc>
              <w:tc>
                <w:tcPr>
                  <w:tcW w:w="644" w:type="pct"/>
                  <w:tcBorders>
                    <w:tl2br w:val="nil"/>
                    <w:tr2bl w:val="nil"/>
                  </w:tcBorders>
                  <w:vAlign w:val="center"/>
                </w:tcPr>
                <w:p>
                  <w:pPr>
                    <w:ind w:left="-146" w:leftChars="-70" w:right="-134" w:rightChars="-64" w:hanging="1"/>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r>
          </w:tbl>
          <w:p>
            <w:pPr>
              <w:spacing w:before="156" w:beforeLines="50"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经计算，本项目运输过程产生的扬尘量为1.1t/a。</w:t>
            </w:r>
          </w:p>
          <w:p>
            <w:pPr>
              <w:adjustRightInd w:val="0"/>
              <w:snapToGrid w:val="0"/>
              <w:spacing w:line="480" w:lineRule="exact"/>
              <w:ind w:firstLine="496" w:firstLineChars="200"/>
              <w:jc w:val="left"/>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汽车运输扬尘主要是道路行驶引起的二次扬尘，因此，本评价对物料运输提出具体要求：</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szCs w:val="28"/>
                <w14:textFill>
                  <w14:solidFill>
                    <w14:schemeClr w14:val="tx1"/>
                  </w14:solidFill>
                </w14:textFill>
              </w:rPr>
              <w:t>①</w:t>
            </w:r>
            <w:r>
              <w:rPr>
                <w:color w:val="000000" w:themeColor="text1"/>
                <w:sz w:val="24"/>
                <w14:textFill>
                  <w14:solidFill>
                    <w14:schemeClr w14:val="tx1"/>
                  </w14:solidFill>
                </w14:textFill>
              </w:rPr>
              <w:t>本次拟建项目可以控制的运输道路为厂区的道路，评价要求要注意保持该路面的清洁和相对湿度</w:t>
            </w:r>
            <w:r>
              <w:rPr>
                <w:rFonts w:hint="eastAsia"/>
                <w:color w:val="000000" w:themeColor="text1"/>
                <w:sz w:val="24"/>
                <w14:textFill>
                  <w14:solidFill>
                    <w14:schemeClr w14:val="tx1"/>
                  </w14:solidFill>
                </w14:textFill>
              </w:rPr>
              <w:t>，厂内道路及与公路连接线需硬化</w:t>
            </w:r>
            <w:r>
              <w:rPr>
                <w:color w:val="000000" w:themeColor="text1"/>
                <w:sz w:val="24"/>
                <w14:textFill>
                  <w14:solidFill>
                    <w14:schemeClr w14:val="tx1"/>
                  </w14:solidFill>
                </w14:textFill>
              </w:rPr>
              <w:t>，当路面出现损坏及时修复，同时对该道路要进行定时洒水，并应视路面状况调整洒水频次。</w:t>
            </w:r>
          </w:p>
          <w:p>
            <w:pPr>
              <w:spacing w:line="480" w:lineRule="exact"/>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②对于厂区外的运输道路，厂方应要求运输单位采取以下措施：</w:t>
            </w:r>
          </w:p>
          <w:p>
            <w:pPr>
              <w:spacing w:line="480" w:lineRule="exact"/>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a、严格控制汽车装载量；</w:t>
            </w:r>
          </w:p>
          <w:p>
            <w:pPr>
              <w:spacing w:line="480" w:lineRule="exact"/>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b、</w:t>
            </w:r>
            <w:r>
              <w:rPr>
                <w:rFonts w:hint="eastAsia"/>
                <w:color w:val="000000" w:themeColor="text1"/>
                <w:sz w:val="24"/>
                <w14:textFill>
                  <w14:solidFill>
                    <w14:schemeClr w14:val="tx1"/>
                  </w14:solidFill>
                </w14:textFill>
              </w:rPr>
              <w:t>产品</w:t>
            </w:r>
            <w:r>
              <w:rPr>
                <w:color w:val="000000" w:themeColor="text1"/>
                <w:sz w:val="24"/>
                <w14:textFill>
                  <w14:solidFill>
                    <w14:schemeClr w14:val="tx1"/>
                  </w14:solidFill>
                </w14:textFill>
              </w:rPr>
              <w:t>尽量采用</w:t>
            </w:r>
            <w:r>
              <w:rPr>
                <w:rFonts w:hint="eastAsia"/>
                <w:color w:val="000000" w:themeColor="text1"/>
                <w:sz w:val="24"/>
                <w14:textFill>
                  <w14:solidFill>
                    <w14:schemeClr w14:val="tx1"/>
                  </w14:solidFill>
                </w14:textFill>
              </w:rPr>
              <w:t>厢</w:t>
            </w:r>
            <w:r>
              <w:rPr>
                <w:color w:val="000000" w:themeColor="text1"/>
                <w:sz w:val="24"/>
                <w14:textFill>
                  <w14:solidFill>
                    <w14:schemeClr w14:val="tx1"/>
                  </w14:solidFill>
                </w14:textFill>
              </w:rPr>
              <w:t>式密封车，运输车辆要加盖篷布</w:t>
            </w:r>
            <w:r>
              <w:rPr>
                <w:color w:val="000000" w:themeColor="text1"/>
                <w:sz w:val="24"/>
                <w:szCs w:val="28"/>
                <w14:textFill>
                  <w14:solidFill>
                    <w14:schemeClr w14:val="tx1"/>
                  </w14:solidFill>
                </w14:textFill>
              </w:rPr>
              <w:t>；</w:t>
            </w:r>
          </w:p>
          <w:p>
            <w:pPr>
              <w:spacing w:line="480" w:lineRule="exact"/>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c、原料</w:t>
            </w:r>
            <w:r>
              <w:rPr>
                <w:rFonts w:hint="eastAsia"/>
                <w:color w:val="000000" w:themeColor="text1"/>
                <w:sz w:val="24"/>
                <w:szCs w:val="28"/>
                <w14:textFill>
                  <w14:solidFill>
                    <w14:schemeClr w14:val="tx1"/>
                  </w14:solidFill>
                </w14:textFill>
              </w:rPr>
              <w:t>及产品</w:t>
            </w:r>
            <w:r>
              <w:rPr>
                <w:color w:val="000000" w:themeColor="text1"/>
                <w:sz w:val="24"/>
                <w:szCs w:val="28"/>
                <w14:textFill>
                  <w14:solidFill>
                    <w14:schemeClr w14:val="tx1"/>
                  </w14:solidFill>
                </w14:textFill>
              </w:rPr>
              <w:t>在运输过程中，</w:t>
            </w:r>
            <w:r>
              <w:rPr>
                <w:rFonts w:hint="eastAsia"/>
                <w:color w:val="000000" w:themeColor="text1"/>
                <w:sz w:val="24"/>
                <w:szCs w:val="28"/>
                <w14:textFill>
                  <w14:solidFill>
                    <w14:schemeClr w14:val="tx1"/>
                  </w14:solidFill>
                </w14:textFill>
              </w:rPr>
              <w:t>应尽量避开村镇密集区，</w:t>
            </w:r>
            <w:r>
              <w:rPr>
                <w:color w:val="000000" w:themeColor="text1"/>
                <w:sz w:val="24"/>
                <w14:textFill>
                  <w14:solidFill>
                    <w14:schemeClr w14:val="tx1"/>
                  </w14:solidFill>
                </w14:textFill>
              </w:rPr>
              <w:t>经过村庄时，要低速行驶，最大限度减少车辆</w:t>
            </w:r>
            <w:r>
              <w:rPr>
                <w:rFonts w:hint="eastAsia"/>
                <w:color w:val="000000" w:themeColor="text1"/>
                <w:sz w:val="24"/>
                <w14:textFill>
                  <w14:solidFill>
                    <w14:schemeClr w14:val="tx1"/>
                  </w14:solidFill>
                </w14:textFill>
              </w:rPr>
              <w:t>粉</w:t>
            </w:r>
            <w:r>
              <w:rPr>
                <w:color w:val="000000" w:themeColor="text1"/>
                <w:sz w:val="24"/>
                <w14:textFill>
                  <w14:solidFill>
                    <w14:schemeClr w14:val="tx1"/>
                  </w14:solidFill>
                </w14:textFill>
              </w:rPr>
              <w:t>尘抛洒</w:t>
            </w:r>
            <w:r>
              <w:rPr>
                <w:rFonts w:hint="eastAsia"/>
                <w:color w:val="000000" w:themeColor="text1"/>
                <w:sz w:val="24"/>
                <w:szCs w:val="28"/>
                <w14:textFill>
                  <w14:solidFill>
                    <w14:schemeClr w14:val="tx1"/>
                  </w14:solidFill>
                </w14:textFill>
              </w:rPr>
              <w:t>；</w:t>
            </w:r>
          </w:p>
          <w:p>
            <w:pPr>
              <w:adjustRightInd w:val="0"/>
              <w:snapToGrid w:val="0"/>
              <w:spacing w:line="480" w:lineRule="exact"/>
              <w:ind w:firstLine="480" w:firstLineChars="200"/>
              <w:jc w:val="left"/>
              <w:rPr>
                <w:color w:val="000000" w:themeColor="text1"/>
                <w:spacing w:val="4"/>
                <w:sz w:val="24"/>
                <w14:textFill>
                  <w14:solidFill>
                    <w14:schemeClr w14:val="tx1"/>
                  </w14:solidFill>
                </w14:textFill>
              </w:rPr>
            </w:pPr>
            <w:r>
              <w:rPr>
                <w:color w:val="000000" w:themeColor="text1"/>
                <w:sz w:val="24"/>
                <w:szCs w:val="28"/>
                <w14:textFill>
                  <w14:solidFill>
                    <w14:schemeClr w14:val="tx1"/>
                  </w14:solidFill>
                </w14:textFill>
              </w:rPr>
              <w:t>采用上述措施后</w:t>
            </w:r>
            <w:r>
              <w:rPr>
                <w:color w:val="000000" w:themeColor="text1"/>
                <w:spacing w:val="4"/>
                <w:sz w:val="24"/>
                <w14:textFill>
                  <w14:solidFill>
                    <w14:schemeClr w14:val="tx1"/>
                  </w14:solidFill>
                </w14:textFill>
              </w:rPr>
              <w:t>，</w:t>
            </w:r>
            <w:r>
              <w:rPr>
                <w:color w:val="000000" w:themeColor="text1"/>
                <w:sz w:val="24"/>
                <w14:textFill>
                  <w14:solidFill>
                    <w14:schemeClr w14:val="tx1"/>
                  </w14:solidFill>
                </w14:textFill>
              </w:rPr>
              <w:t>可减轻运输扬尘量</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0%，</w:t>
            </w:r>
            <w:r>
              <w:rPr>
                <w:color w:val="000000" w:themeColor="text1"/>
                <w:spacing w:val="4"/>
                <w:sz w:val="24"/>
                <w14:textFill>
                  <w14:solidFill>
                    <w14:schemeClr w14:val="tx1"/>
                  </w14:solidFill>
                </w14:textFill>
              </w:rPr>
              <w:t>道路扬尘排放量为</w:t>
            </w:r>
            <w:r>
              <w:rPr>
                <w:rFonts w:hint="eastAsia"/>
                <w:color w:val="000000" w:themeColor="text1"/>
                <w:spacing w:val="4"/>
                <w:sz w:val="24"/>
                <w14:textFill>
                  <w14:solidFill>
                    <w14:schemeClr w14:val="tx1"/>
                  </w14:solidFill>
                </w14:textFill>
              </w:rPr>
              <w:t>0.33</w:t>
            </w:r>
            <w:r>
              <w:rPr>
                <w:color w:val="000000" w:themeColor="text1"/>
                <w:spacing w:val="4"/>
                <w:sz w:val="24"/>
                <w14:textFill>
                  <w14:solidFill>
                    <w14:schemeClr w14:val="tx1"/>
                  </w14:solidFill>
                </w14:textFill>
              </w:rPr>
              <w:t>t/a。</w:t>
            </w:r>
          </w:p>
          <w:p>
            <w:pPr>
              <w:numPr>
                <w:ilvl w:val="0"/>
                <w:numId w:val="3"/>
              </w:num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原料破碎产生的粉尘G2</w:t>
            </w:r>
          </w:p>
          <w:p>
            <w:pPr>
              <w:adjustRightInd w:val="0"/>
              <w:snapToGrid w:val="0"/>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由生产工艺可知，本项目设</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台破碎机，</w:t>
            </w:r>
            <w:r>
              <w:rPr>
                <w:rFonts w:hint="eastAsia" w:hAnsi="宋体"/>
                <w:color w:val="000000" w:themeColor="text1"/>
                <w:sz w:val="24"/>
                <w14:textFill>
                  <w14:solidFill>
                    <w14:schemeClr w14:val="tx1"/>
                  </w14:solidFill>
                </w14:textFill>
              </w:rPr>
              <w:t>评价要求</w:t>
            </w:r>
            <w:r>
              <w:rPr>
                <w:rFonts w:hint="eastAsia"/>
                <w:color w:val="000000" w:themeColor="text1"/>
                <w:sz w:val="24"/>
                <w14:textFill>
                  <w14:solidFill>
                    <w14:schemeClr w14:val="tx1"/>
                  </w14:solidFill>
                </w14:textFill>
              </w:rPr>
              <w:t>在破碎机进出口设置集气罩</w:t>
            </w:r>
            <w:r>
              <w:rPr>
                <w:rFonts w:hint="eastAsia"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采用</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个集气罩+高效布袋除尘器（1套）进行处理。选用风机风量为10000m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/h（</w:t>
            </w:r>
            <w:r>
              <w:rPr>
                <w:color w:val="000000" w:themeColor="text1"/>
                <w:sz w:val="24"/>
                <w14:textFill>
                  <w14:solidFill>
                    <w14:schemeClr w14:val="tx1"/>
                  </w14:solidFill>
                </w14:textFill>
              </w:rPr>
              <w:t>过滤风速</w:t>
            </w:r>
            <w:r>
              <w:rPr>
                <w:rFonts w:hint="eastAsia"/>
                <w:color w:val="000000" w:themeColor="text1"/>
                <w:sz w:val="24"/>
                <w14:textFill>
                  <w14:solidFill>
                    <w14:schemeClr w14:val="tx1"/>
                  </w14:solidFill>
                </w14:textFill>
              </w:rPr>
              <w:t>0.8</w:t>
            </w:r>
            <w:r>
              <w:rPr>
                <w:color w:val="000000" w:themeColor="text1"/>
                <w:sz w:val="24"/>
                <w14:textFill>
                  <w14:solidFill>
                    <w14:schemeClr w14:val="tx1"/>
                  </w14:solidFill>
                </w14:textFill>
              </w:rPr>
              <w:t>m/min，过滤面积</w:t>
            </w:r>
            <w:r>
              <w:rPr>
                <w:rFonts w:hint="eastAsia"/>
                <w:color w:val="000000" w:themeColor="text1"/>
                <w:sz w:val="24"/>
                <w14:textFill>
                  <w14:solidFill>
                    <w14:schemeClr w14:val="tx1"/>
                  </w14:solidFill>
                </w14:textFill>
              </w:rPr>
              <w:t>300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经过类比分析，破碎产生粉尘浓度为2000mg/m</w:t>
            </w:r>
            <w:r>
              <w:rPr>
                <w:rFonts w:hint="eastAsia" w:hAnsi="宋体"/>
                <w:color w:val="000000" w:themeColor="text1"/>
                <w:sz w:val="24"/>
                <w:vertAlign w:val="superscript"/>
                <w14:textFill>
                  <w14:solidFill>
                    <w14:schemeClr w14:val="tx1"/>
                  </w14:solidFill>
                </w14:textFill>
              </w:rPr>
              <w:t>3</w:t>
            </w:r>
            <w:r>
              <w:rPr>
                <w:rFonts w:hint="eastAsia" w:hAnsi="宋体"/>
                <w:color w:val="000000" w:themeColor="text1"/>
                <w:sz w:val="24"/>
                <w14:textFill>
                  <w14:solidFill>
                    <w14:schemeClr w14:val="tx1"/>
                  </w14:solidFill>
                </w14:textFill>
              </w:rPr>
              <w:t>。</w:t>
            </w:r>
          </w:p>
          <w:p>
            <w:pPr>
              <w:spacing w:line="480" w:lineRule="exact"/>
              <w:ind w:left="-25" w:leftChars="-12"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生产线</w:t>
            </w:r>
            <w:r>
              <w:rPr>
                <w:color w:val="000000" w:themeColor="text1"/>
                <w:sz w:val="24"/>
                <w14:textFill>
                  <w14:solidFill>
                    <w14:schemeClr w14:val="tx1"/>
                  </w14:solidFill>
                </w14:textFill>
              </w:rPr>
              <w:t>年运行</w:t>
            </w:r>
            <w:r>
              <w:rPr>
                <w:rFonts w:hint="eastAsia"/>
                <w:color w:val="000000" w:themeColor="text1"/>
                <w:sz w:val="24"/>
                <w14:textFill>
                  <w14:solidFill>
                    <w14:schemeClr w14:val="tx1"/>
                  </w14:solidFill>
                </w14:textFill>
              </w:rPr>
              <w:t>300</w:t>
            </w:r>
            <w:r>
              <w:rPr>
                <w:color w:val="000000" w:themeColor="text1"/>
                <w:sz w:val="24"/>
                <w14:textFill>
                  <w14:solidFill>
                    <w14:schemeClr w14:val="tx1"/>
                  </w14:solidFill>
                </w14:textFill>
              </w:rPr>
              <w:t>天，每天工作</w:t>
            </w:r>
            <w:r>
              <w:rPr>
                <w:rFonts w:hint="eastAsia"/>
                <w:color w:val="000000" w:themeColor="text1"/>
                <w:sz w:val="24"/>
                <w14:textFill>
                  <w14:solidFill>
                    <w14:schemeClr w14:val="tx1"/>
                  </w14:solidFill>
                </w14:textFill>
              </w:rPr>
              <w:t>16</w:t>
            </w:r>
            <w:r>
              <w:rPr>
                <w:color w:val="000000" w:themeColor="text1"/>
                <w:sz w:val="24"/>
                <w14:textFill>
                  <w14:solidFill>
                    <w14:schemeClr w14:val="tx1"/>
                  </w14:solidFill>
                </w14:textFill>
              </w:rPr>
              <w:t>小时，粉尘的产生量为</w:t>
            </w:r>
            <w:r>
              <w:rPr>
                <w:rFonts w:hint="eastAsia"/>
                <w:color w:val="000000" w:themeColor="text1"/>
                <w:sz w:val="24"/>
                <w14:textFill>
                  <w14:solidFill>
                    <w14:schemeClr w14:val="tx1"/>
                  </w14:solidFill>
                </w14:textFill>
              </w:rPr>
              <w:t>96</w:t>
            </w:r>
            <w:r>
              <w:rPr>
                <w:color w:val="000000" w:themeColor="text1"/>
                <w:sz w:val="24"/>
                <w14:textFill>
                  <w14:solidFill>
                    <w14:schemeClr w14:val="tx1"/>
                  </w14:solidFill>
                </w14:textFill>
              </w:rPr>
              <w:t>t/a，经袋式除尘器处理后，除尘效率为99%，废气通过</w:t>
            </w:r>
            <w:r>
              <w:rPr>
                <w:rFonts w:hint="eastAsia"/>
                <w:color w:val="000000" w:themeColor="text1"/>
                <w:sz w:val="24"/>
                <w14:textFill>
                  <w14:solidFill>
                    <w14:schemeClr w14:val="tx1"/>
                  </w14:solidFill>
                </w14:textFill>
              </w:rPr>
              <w:t>15</w:t>
            </w:r>
            <w:r>
              <w:rPr>
                <w:color w:val="000000" w:themeColor="text1"/>
                <w:sz w:val="24"/>
                <w14:textFill>
                  <w14:solidFill>
                    <w14:schemeClr w14:val="tx1"/>
                  </w14:solidFill>
                </w14:textFill>
              </w:rPr>
              <w:t>m高的排气筒外排，粉尘有组织排放量为</w:t>
            </w:r>
            <w:r>
              <w:rPr>
                <w:rFonts w:hint="eastAsia"/>
                <w:color w:val="000000" w:themeColor="text1"/>
                <w:sz w:val="24"/>
                <w14:textFill>
                  <w14:solidFill>
                    <w14:schemeClr w14:val="tx1"/>
                  </w14:solidFill>
                </w14:textFill>
              </w:rPr>
              <w:t>0.96</w:t>
            </w:r>
            <w:r>
              <w:rPr>
                <w:color w:val="000000" w:themeColor="text1"/>
                <w:sz w:val="24"/>
                <w14:textFill>
                  <w14:solidFill>
                    <w14:schemeClr w14:val="tx1"/>
                  </w14:solidFill>
                </w14:textFill>
              </w:rPr>
              <w:t>t/a，排放浓度</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排放速率为0.2kg/h，</w:t>
            </w:r>
            <w:r>
              <w:rPr>
                <w:color w:val="000000" w:themeColor="text1"/>
                <w:sz w:val="24"/>
                <w14:textFill>
                  <w14:solidFill>
                    <w14:schemeClr w14:val="tx1"/>
                  </w14:solidFill>
                </w14:textFill>
              </w:rPr>
              <w:t>满足</w:t>
            </w:r>
            <w:r>
              <w:rPr>
                <w:rFonts w:hint="eastAsia"/>
                <w:color w:val="000000" w:themeColor="text1"/>
                <w:sz w:val="24"/>
                <w:szCs w:val="22"/>
                <w14:textFill>
                  <w14:solidFill>
                    <w14:schemeClr w14:val="tx1"/>
                  </w14:solidFill>
                </w14:textFill>
              </w:rPr>
              <w:t>《煤炭工业污染物排放标准》（</w:t>
            </w:r>
            <w:r>
              <w:rPr>
                <w:color w:val="000000" w:themeColor="text1"/>
                <w:sz w:val="24"/>
                <w:szCs w:val="22"/>
                <w14:textFill>
                  <w14:solidFill>
                    <w14:schemeClr w14:val="tx1"/>
                  </w14:solidFill>
                </w14:textFill>
              </w:rPr>
              <w:t>GB20426</w:t>
            </w:r>
            <w:r>
              <w:rPr>
                <w:rFonts w:hint="eastAsia"/>
                <w:color w:val="000000" w:themeColor="text1"/>
                <w:sz w:val="24"/>
                <w:szCs w:val="22"/>
                <w14:textFill>
                  <w14:solidFill>
                    <w14:schemeClr w14:val="tx1"/>
                  </w14:solidFill>
                </w14:textFill>
              </w:rPr>
              <w:t>－</w:t>
            </w:r>
            <w:r>
              <w:rPr>
                <w:color w:val="000000" w:themeColor="text1"/>
                <w:sz w:val="24"/>
                <w:szCs w:val="22"/>
                <w14:textFill>
                  <w14:solidFill>
                    <w14:schemeClr w14:val="tx1"/>
                  </w14:solidFill>
                </w14:textFill>
              </w:rPr>
              <w:t>2006</w:t>
            </w:r>
            <w:r>
              <w:rPr>
                <w:rFonts w:hint="eastAsia"/>
                <w:color w:val="000000" w:themeColor="text1"/>
                <w:sz w:val="24"/>
                <w:szCs w:val="22"/>
                <w14:textFill>
                  <w14:solidFill>
                    <w14:schemeClr w14:val="tx1"/>
                  </w14:solidFill>
                </w14:textFill>
              </w:rPr>
              <w:t>）表</w:t>
            </w:r>
            <w:r>
              <w:rPr>
                <w:color w:val="000000" w:themeColor="text1"/>
                <w:sz w:val="24"/>
                <w:szCs w:val="22"/>
                <w14:textFill>
                  <w14:solidFill>
                    <w14:schemeClr w14:val="tx1"/>
                  </w14:solidFill>
                </w14:textFill>
              </w:rPr>
              <w:t>4</w:t>
            </w:r>
            <w:r>
              <w:rPr>
                <w:rFonts w:hint="eastAsia"/>
                <w:color w:val="000000" w:themeColor="text1"/>
                <w:sz w:val="24"/>
                <w:szCs w:val="22"/>
                <w14:textFill>
                  <w14:solidFill>
                    <w14:schemeClr w14:val="tx1"/>
                  </w14:solidFill>
                </w14:textFill>
              </w:rPr>
              <w:t>和表</w:t>
            </w:r>
            <w:r>
              <w:rPr>
                <w:color w:val="000000" w:themeColor="text1"/>
                <w:sz w:val="24"/>
                <w:szCs w:val="22"/>
                <w14:textFill>
                  <w14:solidFill>
                    <w14:schemeClr w14:val="tx1"/>
                  </w14:solidFill>
                </w14:textFill>
              </w:rPr>
              <w:t>5</w:t>
            </w:r>
            <w:r>
              <w:rPr>
                <w:rFonts w:hint="eastAsia"/>
                <w:color w:val="000000" w:themeColor="text1"/>
                <w:sz w:val="24"/>
                <w:szCs w:val="22"/>
                <w14:textFill>
                  <w14:solidFill>
                    <w14:schemeClr w14:val="tx1"/>
                  </w14:solidFill>
                </w14:textFill>
              </w:rPr>
              <w:t>规定的限值要求</w:t>
            </w:r>
            <w:r>
              <w:rPr>
                <w:color w:val="000000" w:themeColor="text1"/>
                <w:sz w:val="24"/>
                <w14:textFill>
                  <w14:solidFill>
                    <w14:schemeClr w14:val="tx1"/>
                  </w14:solidFill>
                </w14:textFill>
              </w:rPr>
              <w:t>，实现达标排放</w:t>
            </w:r>
            <w:r>
              <w:rPr>
                <w:rFonts w:hint="eastAsia"/>
                <w:color w:val="000000" w:themeColor="text1"/>
                <w:sz w:val="24"/>
                <w14:textFill>
                  <w14:solidFill>
                    <w14:schemeClr w14:val="tx1"/>
                  </w14:solidFill>
                </w14:textFill>
              </w:rPr>
              <w:t>；环评要求全封闭厂房，进出口设自动门及时关闭，粉尘基本不外逸</w:t>
            </w:r>
            <w:r>
              <w:rPr>
                <w:color w:val="000000" w:themeColor="text1"/>
                <w:sz w:val="24"/>
                <w14:textFill>
                  <w14:solidFill>
                    <w14:schemeClr w14:val="tx1"/>
                  </w14:solidFill>
                </w14:textFill>
              </w:rPr>
              <w:t>。</w:t>
            </w:r>
          </w:p>
          <w:p>
            <w:pPr>
              <w:snapToGrid w:val="0"/>
              <w:spacing w:line="480" w:lineRule="exact"/>
              <w:ind w:firstLine="504"/>
              <w:jc w:val="left"/>
              <w:rPr>
                <w:rFonts w:cs="宋体"/>
                <w:color w:val="000000" w:themeColor="text1"/>
                <w:spacing w:val="6"/>
                <w:sz w:val="24"/>
                <w14:textFill>
                  <w14:solidFill>
                    <w14:schemeClr w14:val="tx1"/>
                  </w14:solidFill>
                </w14:textFill>
              </w:rPr>
            </w:pPr>
            <w:r>
              <w:rPr>
                <w:rFonts w:hint="eastAsia" w:cs="宋体"/>
                <w:color w:val="000000" w:themeColor="text1"/>
                <w:spacing w:val="6"/>
                <w:sz w:val="24"/>
                <w14:textFill>
                  <w14:solidFill>
                    <w14:schemeClr w14:val="tx1"/>
                  </w14:solidFill>
                </w14:textFill>
              </w:rPr>
              <w:t>1.3、环境</w:t>
            </w:r>
            <w:r>
              <w:rPr>
                <w:rFonts w:cs="宋体"/>
                <w:color w:val="000000" w:themeColor="text1"/>
                <w:spacing w:val="6"/>
                <w:sz w:val="24"/>
                <w14:textFill>
                  <w14:solidFill>
                    <w14:schemeClr w14:val="tx1"/>
                  </w14:solidFill>
                </w14:textFill>
              </w:rPr>
              <w:t>空气影响预测</w:t>
            </w:r>
          </w:p>
          <w:p>
            <w:pPr>
              <w:snapToGrid w:val="0"/>
              <w:spacing w:line="480" w:lineRule="exact"/>
              <w:ind w:firstLine="504"/>
              <w:jc w:val="left"/>
              <w:rPr>
                <w:rFonts w:cs="宋体"/>
                <w:color w:val="000000" w:themeColor="text1"/>
                <w:spacing w:val="6"/>
                <w:sz w:val="24"/>
                <w14:textFill>
                  <w14:solidFill>
                    <w14:schemeClr w14:val="tx1"/>
                  </w14:solidFill>
                </w14:textFill>
              </w:rPr>
            </w:pPr>
            <w:r>
              <w:rPr>
                <w:rFonts w:cs="宋体"/>
                <w:color w:val="000000" w:themeColor="text1"/>
                <w:spacing w:val="6"/>
                <w:sz w:val="24"/>
                <w14:textFill>
                  <w14:solidFill>
                    <w14:schemeClr w14:val="tx1"/>
                  </w14:solidFill>
                </w14:textFill>
              </w:rPr>
              <w:t>1.</w:t>
            </w:r>
            <w:r>
              <w:rPr>
                <w:rFonts w:hint="eastAsia" w:cs="宋体"/>
                <w:color w:val="000000" w:themeColor="text1"/>
                <w:spacing w:val="6"/>
                <w:sz w:val="24"/>
                <w14:textFill>
                  <w14:solidFill>
                    <w14:schemeClr w14:val="tx1"/>
                  </w14:solidFill>
                </w14:textFill>
              </w:rPr>
              <w:t>3.1评价工作等级</w:t>
            </w:r>
          </w:p>
          <w:p>
            <w:pPr>
              <w:spacing w:line="48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选择项目污染源正常排放的主要污染物及排放参数，采用《环境影响评价技术导则</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大气环境》（</w:t>
            </w:r>
            <w:r>
              <w:rPr>
                <w:color w:val="000000" w:themeColor="text1"/>
                <w:sz w:val="24"/>
                <w14:textFill>
                  <w14:solidFill>
                    <w14:schemeClr w14:val="tx1"/>
                  </w14:solidFill>
                </w14:textFill>
              </w:rPr>
              <w:t>HJ2.2-2018</w:t>
            </w:r>
            <w:r>
              <w:rPr>
                <w:rFonts w:hint="eastAsia"/>
                <w:color w:val="000000" w:themeColor="text1"/>
                <w:sz w:val="24"/>
                <w14:textFill>
                  <w14:solidFill>
                    <w14:schemeClr w14:val="tx1"/>
                  </w14:solidFill>
                </w14:textFill>
              </w:rPr>
              <w:t>）附录</w:t>
            </w: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推荐模型中</w:t>
            </w:r>
            <w:r>
              <w:rPr>
                <w:color w:val="000000" w:themeColor="text1"/>
                <w:sz w:val="24"/>
                <w14:textFill>
                  <w14:solidFill>
                    <w14:schemeClr w14:val="tx1"/>
                  </w14:solidFill>
                </w14:textFill>
              </w:rPr>
              <w:t>AERSCREEN</w:t>
            </w:r>
            <w:r>
              <w:rPr>
                <w:rFonts w:hint="eastAsia"/>
                <w:color w:val="000000" w:themeColor="text1"/>
                <w:sz w:val="24"/>
                <w14:textFill>
                  <w14:solidFill>
                    <w14:schemeClr w14:val="tx1"/>
                  </w14:solidFill>
                </w14:textFill>
              </w:rPr>
              <w:t>估算模型分别计算项目污染源的最大环境影响，然后按评价工作分级判据进行分级。</w:t>
            </w:r>
          </w:p>
          <w:p>
            <w:pPr>
              <w:spacing w:line="48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）评价工作分级方法</w:t>
            </w:r>
          </w:p>
          <w:p>
            <w:pPr>
              <w:spacing w:line="48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根据项目污染源调查结果，分别计算项目排放主要污染物的最大浓度占标率</w:t>
            </w:r>
            <w:r>
              <w:rPr>
                <w:color w:val="000000" w:themeColor="text1"/>
                <w:sz w:val="24"/>
                <w14:textFill>
                  <w14:solidFill>
                    <w14:schemeClr w14:val="tx1"/>
                  </w14:solidFill>
                </w14:textFill>
              </w:rPr>
              <w:t>P</w:t>
            </w:r>
            <w:r>
              <w:rPr>
                <w:color w:val="000000" w:themeColor="text1"/>
                <w:sz w:val="24"/>
                <w:vertAlign w:val="subscript"/>
                <w14:textFill>
                  <w14:solidFill>
                    <w14:schemeClr w14:val="tx1"/>
                  </w14:solidFill>
                </w14:textFill>
              </w:rPr>
              <w:t>i</w:t>
            </w:r>
            <w:r>
              <w:rPr>
                <w:rFonts w:hint="eastAsia"/>
                <w:color w:val="000000" w:themeColor="text1"/>
                <w:sz w:val="24"/>
                <w14:textFill>
                  <w14:solidFill>
                    <w14:schemeClr w14:val="tx1"/>
                  </w14:solidFill>
                </w14:textFill>
              </w:rPr>
              <w:t>（第</w:t>
            </w:r>
            <w:r>
              <w:rPr>
                <w:color w:val="000000" w:themeColor="text1"/>
                <w:sz w:val="24"/>
                <w14:textFill>
                  <w14:solidFill>
                    <w14:schemeClr w14:val="tx1"/>
                  </w14:solidFill>
                </w14:textFill>
              </w:rPr>
              <w:t>i</w:t>
            </w:r>
            <w:r>
              <w:rPr>
                <w:rFonts w:hint="eastAsia"/>
                <w:color w:val="000000" w:themeColor="text1"/>
                <w:sz w:val="24"/>
                <w14:textFill>
                  <w14:solidFill>
                    <w14:schemeClr w14:val="tx1"/>
                  </w14:solidFill>
                </w14:textFill>
              </w:rPr>
              <w:t>个污染物），及第</w:t>
            </w:r>
            <w:r>
              <w:rPr>
                <w:color w:val="000000" w:themeColor="text1"/>
                <w:sz w:val="24"/>
                <w14:textFill>
                  <w14:solidFill>
                    <w14:schemeClr w14:val="tx1"/>
                  </w14:solidFill>
                </w14:textFill>
              </w:rPr>
              <w:t>i</w:t>
            </w:r>
            <w:r>
              <w:rPr>
                <w:rFonts w:hint="eastAsia"/>
                <w:color w:val="000000" w:themeColor="text1"/>
                <w:sz w:val="24"/>
                <w14:textFill>
                  <w14:solidFill>
                    <w14:schemeClr w14:val="tx1"/>
                  </w14:solidFill>
                </w14:textFill>
              </w:rPr>
              <w:t>个污染物的地面空气质量浓度达到标准值的</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时所对应的最远距离</w:t>
            </w:r>
            <w:r>
              <w:rPr>
                <w:color w:val="000000" w:themeColor="text1"/>
                <w:sz w:val="24"/>
                <w14:textFill>
                  <w14:solidFill>
                    <w14:schemeClr w14:val="tx1"/>
                  </w14:solidFill>
                </w14:textFill>
              </w:rPr>
              <w:t>D</w:t>
            </w:r>
            <w:r>
              <w:rPr>
                <w:color w:val="000000" w:themeColor="text1"/>
                <w:sz w:val="24"/>
                <w:vertAlign w:val="subscript"/>
                <w14:textFill>
                  <w14:solidFill>
                    <w14:schemeClr w14:val="tx1"/>
                  </w14:solidFill>
                </w14:textFill>
              </w:rPr>
              <w:t>10%</w:t>
            </w:r>
            <w:r>
              <w:rPr>
                <w:rFonts w:hint="eastAsia"/>
                <w:color w:val="000000" w:themeColor="text1"/>
                <w:sz w:val="24"/>
                <w14:textFill>
                  <w14:solidFill>
                    <w14:schemeClr w14:val="tx1"/>
                  </w14:solidFill>
                </w14:textFill>
              </w:rPr>
              <w:t>。其中</w:t>
            </w:r>
            <w:r>
              <w:rPr>
                <w:color w:val="000000" w:themeColor="text1"/>
                <w:sz w:val="24"/>
                <w14:textFill>
                  <w14:solidFill>
                    <w14:schemeClr w14:val="tx1"/>
                  </w14:solidFill>
                </w14:textFill>
              </w:rPr>
              <w:t>P</w:t>
            </w:r>
            <w:r>
              <w:rPr>
                <w:color w:val="000000" w:themeColor="text1"/>
                <w:sz w:val="24"/>
                <w:vertAlign w:val="subscript"/>
                <w14:textFill>
                  <w14:solidFill>
                    <w14:schemeClr w14:val="tx1"/>
                  </w14:solidFill>
                </w14:textFill>
              </w:rPr>
              <w:t>i</w:t>
            </w:r>
            <w:r>
              <w:rPr>
                <w:rFonts w:hint="eastAsia"/>
                <w:color w:val="000000" w:themeColor="text1"/>
                <w:sz w:val="24"/>
                <w14:textFill>
                  <w14:solidFill>
                    <w14:schemeClr w14:val="tx1"/>
                  </w14:solidFill>
                </w14:textFill>
              </w:rPr>
              <w:t>定义见下式：</w:t>
            </w:r>
          </w:p>
          <w:p>
            <w:pPr>
              <w:jc w:val="center"/>
              <w:rPr>
                <w:color w:val="000000" w:themeColor="text1"/>
                <w14:textFill>
                  <w14:solidFill>
                    <w14:schemeClr w14:val="tx1"/>
                  </w14:solidFill>
                </w14:textFill>
              </w:rPr>
            </w:pPr>
            <w:r>
              <w:rPr>
                <w:color w:val="000000" w:themeColor="text1"/>
                <w:position w:val="-30"/>
                <w:sz w:val="24"/>
                <w:szCs w:val="22"/>
                <w14:textFill>
                  <w14:solidFill>
                    <w14:schemeClr w14:val="tx1"/>
                  </w14:solidFill>
                </w14:textFill>
              </w:rPr>
              <w:object>
                <v:shape id="_x0000_i1026" o:spt="75" type="#_x0000_t75" style="height:35.25pt;width:81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p>
          <w:p>
            <w:pPr>
              <w:spacing w:line="48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color w:val="000000" w:themeColor="text1"/>
                <w:sz w:val="24"/>
                <w14:textFill>
                  <w14:solidFill>
                    <w14:schemeClr w14:val="tx1"/>
                  </w14:solidFill>
                </w14:textFill>
              </w:rPr>
              <w:t>P</w:t>
            </w:r>
            <w:r>
              <w:rPr>
                <w:color w:val="000000" w:themeColor="text1"/>
                <w:sz w:val="24"/>
                <w:vertAlign w:val="subscript"/>
                <w14:textFill>
                  <w14:solidFill>
                    <w14:schemeClr w14:val="tx1"/>
                  </w14:solidFill>
                </w14:textFill>
              </w:rPr>
              <w:t>i</w:t>
            </w:r>
            <w:r>
              <w:rPr>
                <w:rFonts w:hint="eastAsia"/>
                <w:color w:val="000000" w:themeColor="text1"/>
                <w:sz w:val="24"/>
                <w14:textFill>
                  <w14:solidFill>
                    <w14:schemeClr w14:val="tx1"/>
                  </w14:solidFill>
                </w14:textFill>
              </w:rPr>
              <w:t>—第</w:t>
            </w:r>
            <w:r>
              <w:rPr>
                <w:color w:val="000000" w:themeColor="text1"/>
                <w:sz w:val="24"/>
                <w14:textFill>
                  <w14:solidFill>
                    <w14:schemeClr w14:val="tx1"/>
                  </w14:solidFill>
                </w14:textFill>
              </w:rPr>
              <w:t>i</w:t>
            </w:r>
            <w:r>
              <w:rPr>
                <w:rFonts w:hint="eastAsia"/>
                <w:color w:val="000000" w:themeColor="text1"/>
                <w:sz w:val="24"/>
                <w14:textFill>
                  <w14:solidFill>
                    <w14:schemeClr w14:val="tx1"/>
                  </w14:solidFill>
                </w14:textFill>
              </w:rPr>
              <w:t>个污染物的最大浓度占标率，</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spacing w:line="480" w:lineRule="atLeast"/>
              <w:ind w:firstLine="1132" w:firstLineChars="472"/>
              <w:rPr>
                <w:color w:val="000000" w:themeColor="text1"/>
                <w:sz w:val="24"/>
                <w14:textFill>
                  <w14:solidFill>
                    <w14:schemeClr w14:val="tx1"/>
                  </w14:solidFill>
                </w14:textFill>
              </w:rPr>
            </w:pPr>
            <w:r>
              <w:rPr>
                <w:color w:val="000000" w:themeColor="text1"/>
                <w:sz w:val="24"/>
                <w14:textFill>
                  <w14:solidFill>
                    <w14:schemeClr w14:val="tx1"/>
                  </w14:solidFill>
                </w14:textFill>
              </w:rPr>
              <w:t>C</w:t>
            </w:r>
            <w:r>
              <w:rPr>
                <w:color w:val="000000" w:themeColor="text1"/>
                <w:sz w:val="24"/>
                <w:vertAlign w:val="subscript"/>
                <w14:textFill>
                  <w14:solidFill>
                    <w14:schemeClr w14:val="tx1"/>
                  </w14:solidFill>
                </w14:textFill>
              </w:rPr>
              <w:t>i</w:t>
            </w:r>
            <w:r>
              <w:rPr>
                <w:rFonts w:hint="eastAsia"/>
                <w:color w:val="000000" w:themeColor="text1"/>
                <w:sz w:val="24"/>
                <w14:textFill>
                  <w14:solidFill>
                    <w14:schemeClr w14:val="tx1"/>
                  </w14:solidFill>
                </w14:textFill>
              </w:rPr>
              <w:t>—采用估算模型计算出的第</w:t>
            </w:r>
            <w:r>
              <w:rPr>
                <w:color w:val="000000" w:themeColor="text1"/>
                <w:sz w:val="24"/>
                <w14:textFill>
                  <w14:solidFill>
                    <w14:schemeClr w14:val="tx1"/>
                  </w14:solidFill>
                </w14:textFill>
              </w:rPr>
              <w:t>i</w:t>
            </w:r>
            <w:r>
              <w:rPr>
                <w:rFonts w:hint="eastAsia"/>
                <w:color w:val="000000" w:themeColor="text1"/>
                <w:sz w:val="24"/>
                <w14:textFill>
                  <w14:solidFill>
                    <w14:schemeClr w14:val="tx1"/>
                  </w14:solidFill>
                </w14:textFill>
              </w:rPr>
              <w:t>个污染物的最大</w:t>
            </w:r>
            <w:r>
              <w:rPr>
                <w:color w:val="000000" w:themeColor="text1"/>
                <w:sz w:val="24"/>
                <w14:textFill>
                  <w14:solidFill>
                    <w14:schemeClr w14:val="tx1"/>
                  </w14:solidFill>
                </w14:textFill>
              </w:rPr>
              <w:t>1h</w:t>
            </w:r>
            <w:r>
              <w:rPr>
                <w:rFonts w:hint="eastAsia"/>
                <w:color w:val="000000" w:themeColor="text1"/>
                <w:sz w:val="24"/>
                <w14:textFill>
                  <w14:solidFill>
                    <w14:schemeClr w14:val="tx1"/>
                  </w14:solidFill>
                </w14:textFill>
              </w:rPr>
              <w:t>地面空气质量浓度，</w:t>
            </w:r>
            <w:r>
              <w:rPr>
                <w:color w:val="000000" w:themeColor="text1"/>
                <w:sz w:val="24"/>
                <w14:textFill>
                  <w14:solidFill>
                    <w14:schemeClr w14:val="tx1"/>
                  </w14:solidFill>
                </w14:textFill>
              </w:rPr>
              <w:t>µg/m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spacing w:line="480" w:lineRule="atLeast"/>
              <w:ind w:firstLine="1132" w:firstLineChars="472"/>
              <w:rPr>
                <w:color w:val="000000" w:themeColor="text1"/>
                <w:sz w:val="24"/>
                <w14:textFill>
                  <w14:solidFill>
                    <w14:schemeClr w14:val="tx1"/>
                  </w14:solidFill>
                </w14:textFill>
              </w:rPr>
            </w:pPr>
            <w:r>
              <w:rPr>
                <w:color w:val="000000" w:themeColor="text1"/>
                <w:sz w:val="24"/>
                <w14:textFill>
                  <w14:solidFill>
                    <w14:schemeClr w14:val="tx1"/>
                  </w14:solidFill>
                </w14:textFill>
              </w:rPr>
              <w:t>Co</w:t>
            </w:r>
            <w:r>
              <w:rPr>
                <w:color w:val="000000" w:themeColor="text1"/>
                <w:sz w:val="24"/>
                <w:vertAlign w:val="subscript"/>
                <w14:textFill>
                  <w14:solidFill>
                    <w14:schemeClr w14:val="tx1"/>
                  </w14:solidFill>
                </w14:textFill>
              </w:rPr>
              <w:t>i</w:t>
            </w:r>
            <w:r>
              <w:rPr>
                <w:rFonts w:hint="eastAsia"/>
                <w:color w:val="000000" w:themeColor="text1"/>
                <w:sz w:val="24"/>
                <w14:textFill>
                  <w14:solidFill>
                    <w14:schemeClr w14:val="tx1"/>
                  </w14:solidFill>
                </w14:textFill>
              </w:rPr>
              <w:t>—第</w:t>
            </w:r>
            <w:r>
              <w:rPr>
                <w:color w:val="000000" w:themeColor="text1"/>
                <w:sz w:val="24"/>
                <w14:textFill>
                  <w14:solidFill>
                    <w14:schemeClr w14:val="tx1"/>
                  </w14:solidFill>
                </w14:textFill>
              </w:rPr>
              <w:t>i</w:t>
            </w:r>
            <w:r>
              <w:rPr>
                <w:rFonts w:hint="eastAsia"/>
                <w:color w:val="000000" w:themeColor="text1"/>
                <w:sz w:val="24"/>
                <w14:textFill>
                  <w14:solidFill>
                    <w14:schemeClr w14:val="tx1"/>
                  </w14:solidFill>
                </w14:textFill>
              </w:rPr>
              <w:t>个污染物的环境空气质量浓度标准，</w:t>
            </w:r>
            <w:r>
              <w:rPr>
                <w:color w:val="000000" w:themeColor="text1"/>
                <w:sz w:val="24"/>
                <w14:textFill>
                  <w14:solidFill>
                    <w14:schemeClr w14:val="tx1"/>
                  </w14:solidFill>
                </w14:textFill>
              </w:rPr>
              <w:t>µg/m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TSP</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rFonts w:hint="eastAsia"/>
                <w:color w:val="000000" w:themeColor="text1"/>
                <w:sz w:val="24"/>
                <w14:textFill>
                  <w14:solidFill>
                    <w14:schemeClr w14:val="tx1"/>
                  </w14:solidFill>
                </w14:textFill>
              </w:rPr>
              <w:t>按日平均质量浓度的</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倍折算为</w:t>
            </w:r>
            <w:r>
              <w:rPr>
                <w:color w:val="000000" w:themeColor="text1"/>
                <w:sz w:val="24"/>
                <w14:textFill>
                  <w14:solidFill>
                    <w14:schemeClr w14:val="tx1"/>
                  </w14:solidFill>
                </w14:textFill>
              </w:rPr>
              <w:t>1h</w:t>
            </w:r>
            <w:r>
              <w:rPr>
                <w:rFonts w:hint="eastAsia"/>
                <w:color w:val="000000" w:themeColor="text1"/>
                <w:sz w:val="24"/>
                <w14:textFill>
                  <w14:solidFill>
                    <w14:schemeClr w14:val="tx1"/>
                  </w14:solidFill>
                </w14:textFill>
              </w:rPr>
              <w:t>平均质量浓度。</w:t>
            </w:r>
          </w:p>
          <w:p>
            <w:pPr>
              <w:spacing w:line="48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）评价工作等级判据</w:t>
            </w:r>
          </w:p>
          <w:p>
            <w:pPr>
              <w:spacing w:line="48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评价工作等级判据见表7-4。</w:t>
            </w:r>
          </w:p>
          <w:p>
            <w:pPr>
              <w:spacing w:before="50" w:line="48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表7-4 评价工作等级判据</w:t>
            </w:r>
          </w:p>
          <w:tbl>
            <w:tblPr>
              <w:tblStyle w:val="32"/>
              <w:tblW w:w="5000" w:type="pct"/>
              <w:jc w:val="center"/>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78"/>
              <w:gridCol w:w="7231"/>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jc w:val="center"/>
              </w:trPr>
              <w:tc>
                <w:tcPr>
                  <w:tcW w:w="111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评价工作等级</w:t>
                  </w:r>
                </w:p>
              </w:tc>
              <w:tc>
                <w:tcPr>
                  <w:tcW w:w="3884"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评价工作分级判据</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jc w:val="center"/>
              </w:trPr>
              <w:tc>
                <w:tcPr>
                  <w:tcW w:w="111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一级</w:t>
                  </w:r>
                </w:p>
              </w:tc>
              <w:tc>
                <w:tcPr>
                  <w:tcW w:w="388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w:t>
                  </w:r>
                  <w:r>
                    <w:rPr>
                      <w:color w:val="000000" w:themeColor="text1"/>
                      <w:szCs w:val="21"/>
                      <w:vertAlign w:val="subscript"/>
                      <w14:textFill>
                        <w14:solidFill>
                          <w14:schemeClr w14:val="tx1"/>
                        </w14:solidFill>
                      </w14:textFill>
                    </w:rPr>
                    <w:t>max</w:t>
                  </w:r>
                  <w:r>
                    <w:rPr>
                      <w:color w:val="000000" w:themeColor="text1"/>
                      <w:szCs w:val="21"/>
                      <w14:textFill>
                        <w14:solidFill>
                          <w14:schemeClr w14:val="tx1"/>
                        </w14:solidFill>
                      </w14:textFill>
                    </w:rPr>
                    <w:t>≥10%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jc w:val="center"/>
              </w:trPr>
              <w:tc>
                <w:tcPr>
                  <w:tcW w:w="111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二级</w:t>
                  </w:r>
                </w:p>
              </w:tc>
              <w:tc>
                <w:tcPr>
                  <w:tcW w:w="388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P</w:t>
                  </w:r>
                  <w:r>
                    <w:rPr>
                      <w:color w:val="000000" w:themeColor="text1"/>
                      <w:szCs w:val="21"/>
                      <w:vertAlign w:val="subscript"/>
                      <w14:textFill>
                        <w14:solidFill>
                          <w14:schemeClr w14:val="tx1"/>
                        </w14:solidFill>
                      </w14:textFill>
                    </w:rPr>
                    <w:t>ma</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jc w:val="center"/>
              </w:trPr>
              <w:tc>
                <w:tcPr>
                  <w:tcW w:w="111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三级</w:t>
                  </w:r>
                </w:p>
              </w:tc>
              <w:tc>
                <w:tcPr>
                  <w:tcW w:w="388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w:t>
                  </w:r>
                  <w:r>
                    <w:rPr>
                      <w:color w:val="000000" w:themeColor="text1"/>
                      <w:szCs w:val="21"/>
                      <w:vertAlign w:val="subscript"/>
                      <w14:textFill>
                        <w14:solidFill>
                          <w14:schemeClr w14:val="tx1"/>
                        </w14:solidFill>
                      </w14:textFill>
                    </w:rPr>
                    <w:t>max</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w:t>
                  </w:r>
                </w:p>
              </w:tc>
            </w:tr>
          </w:tbl>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（3）点源污染源参数</w:t>
            </w:r>
          </w:p>
          <w:p>
            <w:pPr>
              <w:snapToGrid w:val="0"/>
              <w:spacing w:line="480" w:lineRule="exact"/>
              <w:ind w:firstLine="630"/>
              <w:jc w:val="left"/>
              <w:rPr>
                <w:rFonts w:cs="宋体"/>
                <w:color w:val="000000" w:themeColor="text1"/>
                <w:spacing w:val="6"/>
                <w:sz w:val="24"/>
                <w14:textFill>
                  <w14:solidFill>
                    <w14:schemeClr w14:val="tx1"/>
                  </w14:solidFill>
                </w14:textFill>
              </w:rPr>
            </w:pPr>
            <w:r>
              <w:rPr>
                <w:rFonts w:hint="eastAsia"/>
                <w:color w:val="000000" w:themeColor="text1"/>
                <w:spacing w:val="6"/>
                <w:sz w:val="24"/>
                <w14:textFill>
                  <w14:solidFill>
                    <w14:schemeClr w14:val="tx1"/>
                  </w14:solidFill>
                </w14:textFill>
              </w:rPr>
              <w:t>本项目</w:t>
            </w:r>
            <w:r>
              <w:rPr>
                <w:rFonts w:cs="宋体"/>
                <w:color w:val="000000" w:themeColor="text1"/>
                <w:spacing w:val="6"/>
                <w:sz w:val="24"/>
                <w14:textFill>
                  <w14:solidFill>
                    <w14:schemeClr w14:val="tx1"/>
                  </w14:solidFill>
                </w14:textFill>
              </w:rPr>
              <w:t>点源污染源参数详见表</w:t>
            </w:r>
            <w:r>
              <w:rPr>
                <w:rFonts w:hint="eastAsia" w:cs="宋体"/>
                <w:color w:val="000000" w:themeColor="text1"/>
                <w:spacing w:val="6"/>
                <w:sz w:val="24"/>
                <w14:textFill>
                  <w14:solidFill>
                    <w14:schemeClr w14:val="tx1"/>
                  </w14:solidFill>
                </w14:textFill>
              </w:rPr>
              <w:t>7-5</w:t>
            </w:r>
            <w:r>
              <w:rPr>
                <w:rFonts w:cs="宋体"/>
                <w:color w:val="000000" w:themeColor="text1"/>
                <w:spacing w:val="6"/>
                <w:sz w:val="24"/>
                <w14:textFill>
                  <w14:solidFill>
                    <w14:schemeClr w14:val="tx1"/>
                  </w14:solidFill>
                </w14:textFill>
              </w:rPr>
              <w:t>。</w:t>
            </w:r>
          </w:p>
          <w:p>
            <w:pPr>
              <w:spacing w:before="50" w:line="48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表7-5 污染源参数调查清单(点源)</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294"/>
              <w:gridCol w:w="669"/>
              <w:gridCol w:w="969"/>
              <w:gridCol w:w="1059"/>
              <w:gridCol w:w="614"/>
              <w:gridCol w:w="548"/>
              <w:gridCol w:w="518"/>
              <w:gridCol w:w="735"/>
              <w:gridCol w:w="594"/>
              <w:gridCol w:w="664"/>
              <w:gridCol w:w="541"/>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6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编号</w:t>
                  </w:r>
                </w:p>
              </w:tc>
              <w:tc>
                <w:tcPr>
                  <w:tcW w:w="26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名称</w:t>
                  </w:r>
                </w:p>
              </w:tc>
              <w:tc>
                <w:tcPr>
                  <w:tcW w:w="105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排气筒底部中心坐标</w:t>
                  </w:r>
                </w:p>
              </w:tc>
              <w:tc>
                <w:tcPr>
                  <w:tcW w:w="36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排气筒底部海拔高度</w:t>
                  </w:r>
                  <w:r>
                    <w:rPr>
                      <w:bCs/>
                      <w:color w:val="000000" w:themeColor="text1"/>
                      <w:sz w:val="18"/>
                      <w:szCs w:val="18"/>
                      <w14:textFill>
                        <w14:solidFill>
                          <w14:schemeClr w14:val="tx1"/>
                        </w14:solidFill>
                      </w14:textFill>
                    </w:rPr>
                    <w:t>/m</w:t>
                  </w:r>
                </w:p>
              </w:tc>
              <w:tc>
                <w:tcPr>
                  <w:tcW w:w="308" w:type="pct"/>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排气筒高度</w:t>
                  </w:r>
                  <w:r>
                    <w:rPr>
                      <w:bCs/>
                      <w:color w:val="000000" w:themeColor="text1"/>
                      <w:sz w:val="18"/>
                      <w:szCs w:val="18"/>
                      <w14:textFill>
                        <w14:solidFill>
                          <w14:schemeClr w14:val="tx1"/>
                        </w14:solidFill>
                      </w14:textFill>
                    </w:rPr>
                    <w:t>/m</w:t>
                  </w:r>
                </w:p>
              </w:tc>
              <w:tc>
                <w:tcPr>
                  <w:tcW w:w="292"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排气筒出口内径</w:t>
                  </w:r>
                  <w:r>
                    <w:rPr>
                      <w:bCs/>
                      <w:color w:val="000000" w:themeColor="text1"/>
                      <w:sz w:val="18"/>
                      <w:szCs w:val="18"/>
                      <w14:textFill>
                        <w14:solidFill>
                          <w14:schemeClr w14:val="tx1"/>
                        </w14:solidFill>
                      </w14:textFill>
                    </w:rPr>
                    <w:t>/m</w:t>
                  </w:r>
                </w:p>
              </w:tc>
              <w:tc>
                <w:tcPr>
                  <w:tcW w:w="401" w:type="pct"/>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烟气流速</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m/s</w:t>
                  </w:r>
                  <w:r>
                    <w:rPr>
                      <w:rFonts w:hint="eastAsia"/>
                      <w:bCs/>
                      <w:color w:val="000000" w:themeColor="text1"/>
                      <w:sz w:val="18"/>
                      <w:szCs w:val="18"/>
                      <w14:textFill>
                        <w14:solidFill>
                          <w14:schemeClr w14:val="tx1"/>
                        </w14:solidFill>
                      </w14:textFill>
                    </w:rPr>
                    <w:t>）</w:t>
                  </w:r>
                </w:p>
              </w:tc>
              <w:tc>
                <w:tcPr>
                  <w:tcW w:w="340"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烟气温度</w:t>
                  </w:r>
                  <w:r>
                    <w:rPr>
                      <w:bCs/>
                      <w:color w:val="000000" w:themeColor="text1"/>
                      <w:sz w:val="18"/>
                      <w:szCs w:val="18"/>
                      <w14:textFill>
                        <w14:solidFill>
                          <w14:schemeClr w14:val="tx1"/>
                        </w14:solidFill>
                      </w14:textFill>
                    </w:rPr>
                    <w:t>k</w:t>
                  </w:r>
                </w:p>
              </w:tc>
              <w:tc>
                <w:tcPr>
                  <w:tcW w:w="370" w:type="pct"/>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年排放</w:t>
                  </w:r>
                </w:p>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小时数</w:t>
                  </w:r>
                  <w:r>
                    <w:rPr>
                      <w:bCs/>
                      <w:color w:val="000000" w:themeColor="text1"/>
                      <w:sz w:val="18"/>
                      <w:szCs w:val="18"/>
                      <w14:textFill>
                        <w14:solidFill>
                          <w14:schemeClr w14:val="tx1"/>
                        </w14:solidFill>
                      </w14:textFill>
                    </w:rPr>
                    <w:t>/h</w:t>
                  </w:r>
                </w:p>
              </w:tc>
              <w:tc>
                <w:tcPr>
                  <w:tcW w:w="30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排放工况</w:t>
                  </w:r>
                </w:p>
              </w:tc>
              <w:tc>
                <w:tcPr>
                  <w:tcW w:w="11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污染物排放速率</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kg/h</w:t>
                  </w:r>
                  <w:r>
                    <w:rPr>
                      <w:rFonts w:hint="eastAsia"/>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14:textFill>
                        <w14:solidFill>
                          <w14:schemeClr w14:val="tx1"/>
                        </w14:solidFill>
                      </w14:textFill>
                    </w:rPr>
                  </w:pPr>
                </w:p>
              </w:tc>
              <w:tc>
                <w:tcPr>
                  <w:tcW w:w="6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14:textFill>
                        <w14:solidFill>
                          <w14:schemeClr w14:val="tx1"/>
                        </w14:solidFill>
                      </w14:textFill>
                    </w:rPr>
                  </w:pPr>
                </w:p>
              </w:tc>
              <w:tc>
                <w:tcPr>
                  <w:tcW w:w="5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pacing w:val="5"/>
                      <w:sz w:val="18"/>
                      <w:szCs w:val="18"/>
                      <w14:textFill>
                        <w14:solidFill>
                          <w14:schemeClr w14:val="tx1"/>
                        </w14:solidFill>
                      </w14:textFill>
                    </w:rPr>
                  </w:pPr>
                  <w:r>
                    <w:rPr>
                      <w:color w:val="000000" w:themeColor="text1"/>
                      <w:sz w:val="18"/>
                      <w:szCs w:val="18"/>
                      <w14:textFill>
                        <w14:solidFill>
                          <w14:schemeClr w14:val="tx1"/>
                        </w14:solidFill>
                      </w14:textFill>
                    </w:rPr>
                    <w:t>N</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pacing w:val="5"/>
                      <w:sz w:val="18"/>
                      <w:szCs w:val="18"/>
                      <w14:textFill>
                        <w14:solidFill>
                          <w14:schemeClr w14:val="tx1"/>
                        </w14:solidFill>
                      </w14:textFill>
                    </w:rPr>
                  </w:pPr>
                  <w:r>
                    <w:rPr>
                      <w:color w:val="000000" w:themeColor="text1"/>
                      <w:sz w:val="18"/>
                      <w:szCs w:val="18"/>
                      <w14:textFill>
                        <w14:solidFill>
                          <w14:schemeClr w14:val="tx1"/>
                        </w14:solidFill>
                      </w14:textFill>
                    </w:rPr>
                    <w:t>E</w:t>
                  </w:r>
                </w:p>
              </w:tc>
              <w:tc>
                <w:tcPr>
                  <w:tcW w:w="6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14:textFill>
                        <w14:solidFill>
                          <w14:schemeClr w14:val="tx1"/>
                        </w14:solidFill>
                      </w14:textFill>
                    </w:rPr>
                  </w:pP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14:textFill>
                        <w14:solidFill>
                          <w14:schemeClr w14:val="tx1"/>
                        </w14:solidFill>
                      </w14:textFill>
                    </w:rPr>
                  </w:pPr>
                </w:p>
              </w:tc>
              <w:tc>
                <w:tcPr>
                  <w:tcW w:w="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14:textFill>
                        <w14:solidFill>
                          <w14:schemeClr w14:val="tx1"/>
                        </w14:solidFill>
                      </w14:textFill>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14:textFill>
                        <w14:solidFill>
                          <w14:schemeClr w14:val="tx1"/>
                        </w14:solidFill>
                      </w14:textFill>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 w:val="18"/>
                      <w:szCs w:val="18"/>
                      <w14:textFill>
                        <w14:solidFill>
                          <w14:schemeClr w14:val="tx1"/>
                        </w14:solidFill>
                      </w14:textFill>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14:textFill>
                        <w14:solidFill>
                          <w14:schemeClr w14:val="tx1"/>
                        </w14:solidFill>
                      </w14:textFill>
                    </w:rPr>
                  </w:pPr>
                </w:p>
              </w:tc>
              <w:tc>
                <w:tcPr>
                  <w:tcW w:w="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14:textFill>
                        <w14:solidFill>
                          <w14:schemeClr w14:val="tx1"/>
                        </w14:solidFill>
                      </w14:textFill>
                    </w:rPr>
                  </w:pPr>
                </w:p>
              </w:tc>
              <w:tc>
                <w:tcPr>
                  <w:tcW w:w="11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bookmarkStart w:id="4" w:name="OLE_LINK192" w:colFirst="2" w:colLast="3"/>
                  <w:bookmarkStart w:id="5" w:name="_Hlk531274450"/>
                  <w:bookmarkStart w:id="6" w:name="OLE_LINK17" w:colFirst="0" w:colLast="1"/>
                  <w:bookmarkStart w:id="7" w:name="OLE_LINK155" w:colFirst="1" w:colLast="1"/>
                  <w:bookmarkStart w:id="8" w:name="OLE_LINK156" w:colFirst="1" w:colLast="1"/>
                  <w:bookmarkStart w:id="9" w:name="OLE_LINK191" w:colFirst="2" w:colLast="3"/>
                  <w:bookmarkStart w:id="10" w:name="_Hlk531254671"/>
                  <w:bookmarkStart w:id="11" w:name="OLE_LINK15" w:colFirst="0" w:colLast="1"/>
                  <w:bookmarkStart w:id="12" w:name="OLE_LINK16" w:colFirst="0" w:colLast="1"/>
                  <w:r>
                    <w:rPr>
                      <w:bCs/>
                      <w:color w:val="000000" w:themeColor="text1"/>
                      <w:sz w:val="18"/>
                      <w:szCs w:val="18"/>
                      <w14:textFill>
                        <w14:solidFill>
                          <w14:schemeClr w14:val="tx1"/>
                        </w14:solidFill>
                      </w14:textFill>
                    </w:rPr>
                    <w:t>1</w:t>
                  </w:r>
                </w:p>
              </w:tc>
              <w:tc>
                <w:tcPr>
                  <w:tcW w:w="2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pacing w:val="5"/>
                      <w:sz w:val="18"/>
                      <w:szCs w:val="18"/>
                      <w14:textFill>
                        <w14:solidFill>
                          <w14:schemeClr w14:val="tx1"/>
                        </w14:solidFill>
                      </w14:textFill>
                    </w:rPr>
                    <w:t>DA001</w:t>
                  </w:r>
                </w:p>
              </w:tc>
              <w:tc>
                <w:tcPr>
                  <w:tcW w:w="5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616200.497</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4321950.473</w:t>
                  </w:r>
                </w:p>
              </w:tc>
              <w:tc>
                <w:tcPr>
                  <w:tcW w:w="36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1411</w:t>
                  </w:r>
                </w:p>
              </w:tc>
              <w:tc>
                <w:tcPr>
                  <w:tcW w:w="30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bCs/>
                      <w:color w:val="000000" w:themeColor="text1"/>
                      <w:sz w:val="18"/>
                      <w:szCs w:val="18"/>
                      <w14:textFill>
                        <w14:solidFill>
                          <w14:schemeClr w14:val="tx1"/>
                        </w14:solidFill>
                      </w14:textFill>
                    </w:rPr>
                    <w:t>15</w:t>
                  </w: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6</w:t>
                  </w:r>
                </w:p>
              </w:tc>
              <w:tc>
                <w:tcPr>
                  <w:tcW w:w="4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9.83</w:t>
                  </w:r>
                </w:p>
              </w:tc>
              <w:tc>
                <w:tcPr>
                  <w:tcW w:w="3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298</w:t>
                  </w:r>
                </w:p>
              </w:tc>
              <w:tc>
                <w:tcPr>
                  <w:tcW w:w="3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4800</w:t>
                  </w:r>
                </w:p>
              </w:tc>
              <w:tc>
                <w:tcPr>
                  <w:tcW w:w="30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14:textFill>
                        <w14:solidFill>
                          <w14:schemeClr w14:val="tx1"/>
                        </w14:solidFill>
                      </w14:textFill>
                    </w:rPr>
                  </w:pPr>
                  <w:r>
                    <w:rPr>
                      <w:bCs/>
                      <w:color w:val="000000" w:themeColor="text1"/>
                      <w:sz w:val="18"/>
                      <w:szCs w:val="18"/>
                      <w14:textFill>
                        <w14:solidFill>
                          <w14:schemeClr w14:val="tx1"/>
                        </w14:solidFill>
                      </w14:textFill>
                    </w:rPr>
                    <w:t>100%</w:t>
                  </w:r>
                </w:p>
              </w:tc>
              <w:tc>
                <w:tcPr>
                  <w:tcW w:w="11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0.2</w:t>
                  </w:r>
                </w:p>
              </w:tc>
            </w:tr>
            <w:bookmarkEnd w:id="4"/>
            <w:bookmarkEnd w:id="5"/>
            <w:bookmarkEnd w:id="6"/>
            <w:bookmarkEnd w:id="7"/>
            <w:bookmarkEnd w:id="8"/>
            <w:bookmarkEnd w:id="9"/>
            <w:bookmarkEnd w:id="10"/>
            <w:bookmarkEnd w:id="11"/>
            <w:bookmarkEnd w:id="12"/>
          </w:tbl>
          <w:p>
            <w:pPr>
              <w:spacing w:line="48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（4）估算模型参数</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估算模型参数见表7-6。</w:t>
            </w:r>
          </w:p>
          <w:p>
            <w:pPr>
              <w:spacing w:before="50" w:line="48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表7-6估算模型参数表</w:t>
            </w:r>
          </w:p>
          <w:tbl>
            <w:tblPr>
              <w:tblStyle w:val="32"/>
              <w:tblW w:w="5000" w:type="pct"/>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97"/>
              <w:gridCol w:w="3349"/>
              <w:gridCol w:w="3063"/>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参数</w:t>
                  </w:r>
                </w:p>
              </w:tc>
              <w:tc>
                <w:tcPr>
                  <w:tcW w:w="164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取值</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55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城市</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农村选项</w:t>
                  </w:r>
                </w:p>
              </w:tc>
              <w:tc>
                <w:tcPr>
                  <w:tcW w:w="179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城市</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农村</w:t>
                  </w:r>
                </w:p>
              </w:tc>
              <w:tc>
                <w:tcPr>
                  <w:tcW w:w="164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农村</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最高环境温度</w:t>
                  </w:r>
                  <w:r>
                    <w:rPr>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tc>
              <w:tc>
                <w:tcPr>
                  <w:tcW w:w="1645" w:type="pct"/>
                  <w:tcBorders>
                    <w:tl2br w:val="nil"/>
                    <w:tr2bl w:val="nil"/>
                  </w:tcBorders>
                  <w:vAlign w:val="center"/>
                </w:tcPr>
                <w:p>
                  <w:pPr>
                    <w:pStyle w:val="2"/>
                    <w:jc w:val="center"/>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24.8</w:t>
                  </w:r>
                  <w:r>
                    <w:rPr>
                      <w:rFonts w:hint="eastAsia" w:hAnsi="宋体"/>
                      <w:color w:val="000000" w:themeColor="text1"/>
                      <w:kern w:val="2"/>
                      <w:sz w:val="21"/>
                      <w:szCs w:val="21"/>
                      <w14:textFill>
                        <w14:solidFill>
                          <w14:schemeClr w14:val="tx1"/>
                        </w14:solidFill>
                      </w14:textFill>
                    </w:rPr>
                    <w:t>℃</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最低环境温度</w:t>
                  </w:r>
                  <w:r>
                    <w:rPr>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tc>
              <w:tc>
                <w:tcPr>
                  <w:tcW w:w="1645" w:type="pct"/>
                  <w:tcBorders>
                    <w:tl2br w:val="nil"/>
                    <w:tr2bl w:val="nil"/>
                  </w:tcBorders>
                  <w:vAlign w:val="center"/>
                </w:tcPr>
                <w:p>
                  <w:pPr>
                    <w:pStyle w:val="2"/>
                    <w:jc w:val="center"/>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-24.1</w:t>
                  </w:r>
                  <w:r>
                    <w:rPr>
                      <w:rFonts w:hint="eastAsia" w:hAnsi="宋体"/>
                      <w:color w:val="000000" w:themeColor="text1"/>
                      <w:kern w:val="2"/>
                      <w:sz w:val="21"/>
                      <w:szCs w:val="21"/>
                      <w14:textFill>
                        <w14:solidFill>
                          <w14:schemeClr w14:val="tx1"/>
                        </w14:solidFill>
                      </w14:textFill>
                    </w:rPr>
                    <w:t>℃</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土地利用类型</w:t>
                  </w:r>
                </w:p>
              </w:tc>
              <w:tc>
                <w:tcPr>
                  <w:tcW w:w="164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耕地</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区域湿度条件</w:t>
                  </w:r>
                </w:p>
              </w:tc>
              <w:tc>
                <w:tcPr>
                  <w:tcW w:w="164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半干旱区</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556"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是否考虑地形</w:t>
                  </w:r>
                </w:p>
              </w:tc>
              <w:tc>
                <w:tcPr>
                  <w:tcW w:w="179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考虑地形</w:t>
                  </w:r>
                </w:p>
              </w:tc>
              <w:tc>
                <w:tcPr>
                  <w:tcW w:w="164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97"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c>
                <w:tcPr>
                  <w:tcW w:w="179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地形数据分辨率</w:t>
                  </w:r>
                  <w:r>
                    <w:rPr>
                      <w:color w:val="000000" w:themeColor="text1"/>
                      <w:szCs w:val="21"/>
                      <w14:textFill>
                        <w14:solidFill>
                          <w14:schemeClr w14:val="tx1"/>
                        </w14:solidFill>
                      </w14:textFill>
                    </w:rPr>
                    <w:t>/m</w:t>
                  </w:r>
                </w:p>
              </w:tc>
              <w:tc>
                <w:tcPr>
                  <w:tcW w:w="164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55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是否考虑岸线熏烟</w:t>
                  </w:r>
                </w:p>
              </w:tc>
              <w:tc>
                <w:tcPr>
                  <w:tcW w:w="1799"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考虑岸线熏烟</w:t>
                  </w:r>
                </w:p>
              </w:tc>
              <w:tc>
                <w:tcPr>
                  <w:tcW w:w="164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bl>
          <w:p>
            <w:pPr>
              <w:spacing w:line="46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）预测结果</w:t>
            </w:r>
          </w:p>
          <w:p>
            <w:pPr>
              <w:spacing w:line="460" w:lineRule="atLeast"/>
              <w:ind w:firstLine="480" w:firstLineChars="2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采用</w:t>
            </w:r>
            <w:r>
              <w:rPr>
                <w:color w:val="000000" w:themeColor="text1"/>
                <w:sz w:val="24"/>
                <w14:textFill>
                  <w14:solidFill>
                    <w14:schemeClr w14:val="tx1"/>
                  </w14:solidFill>
                </w14:textFill>
              </w:rPr>
              <w:t>AERSCREEN</w:t>
            </w:r>
            <w:r>
              <w:rPr>
                <w:rFonts w:hint="eastAsia"/>
                <w:color w:val="000000" w:themeColor="text1"/>
                <w:sz w:val="24"/>
                <w14:textFill>
                  <w14:solidFill>
                    <w14:schemeClr w14:val="tx1"/>
                  </w14:solidFill>
                </w14:textFill>
              </w:rPr>
              <w:t>估算模型计算结果见表7-7。</w:t>
            </w:r>
          </w:p>
          <w:p>
            <w:pPr>
              <w:spacing w:before="50" w:line="48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表7-7 采用估算模式计算结果</w:t>
            </w:r>
          </w:p>
          <w:tbl>
            <w:tblPr>
              <w:tblStyle w:val="32"/>
              <w:tblW w:w="5000" w:type="pct"/>
              <w:jc w:val="center"/>
              <w:tblBorders>
                <w:top w:val="single" w:color="000000" w:sz="12" w:space="0"/>
                <w:left w:val="single" w:color="000000" w:sz="6" w:space="0"/>
                <w:bottom w:val="single" w:color="000000" w:sz="12" w:space="0"/>
                <w:right w:val="single" w:color="000000" w:sz="6"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835"/>
              <w:gridCol w:w="1623"/>
              <w:gridCol w:w="1472"/>
              <w:gridCol w:w="1614"/>
              <w:gridCol w:w="1463"/>
              <w:gridCol w:w="1487"/>
            </w:tblGrid>
            <w:tr>
              <w:tblPrEx>
                <w:tblBorders>
                  <w:top w:val="single" w:color="000000" w:sz="12" w:space="0"/>
                  <w:left w:val="single" w:color="000000" w:sz="6" w:space="0"/>
                  <w:bottom w:val="single" w:color="000000" w:sz="12"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84" w:hRule="atLeast"/>
                <w:tblHeader/>
                <w:jc w:val="center"/>
              </w:trPr>
              <w:tc>
                <w:tcPr>
                  <w:tcW w:w="439" w:type="pct"/>
                  <w:tcBorders>
                    <w:tl2br w:val="nil"/>
                    <w:tr2bl w:val="nil"/>
                  </w:tcBorders>
                  <w:vAlign w:val="center"/>
                </w:tcPr>
                <w:p>
                  <w:pPr>
                    <w:jc w:val="center"/>
                    <w:rPr>
                      <w:rFonts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类别</w:t>
                  </w:r>
                </w:p>
              </w:tc>
              <w:tc>
                <w:tcPr>
                  <w:tcW w:w="439" w:type="pct"/>
                  <w:tcBorders>
                    <w:tl2br w:val="nil"/>
                    <w:tr2bl w:val="nil"/>
                  </w:tcBorders>
                  <w:vAlign w:val="center"/>
                </w:tcPr>
                <w:p>
                  <w:pPr>
                    <w:jc w:val="center"/>
                    <w:rPr>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编号</w:t>
                  </w:r>
                </w:p>
              </w:tc>
              <w:tc>
                <w:tcPr>
                  <w:tcW w:w="873" w:type="pct"/>
                  <w:tcBorders>
                    <w:tl2br w:val="nil"/>
                    <w:tr2bl w:val="nil"/>
                  </w:tcBorders>
                  <w:vAlign w:val="center"/>
                </w:tcPr>
                <w:p>
                  <w:pPr>
                    <w:jc w:val="center"/>
                    <w:rPr>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污染源</w:t>
                  </w:r>
                </w:p>
              </w:tc>
              <w:tc>
                <w:tcPr>
                  <w:tcW w:w="792" w:type="pct"/>
                  <w:tcBorders>
                    <w:tl2br w:val="nil"/>
                    <w:tr2bl w:val="nil"/>
                  </w:tcBorders>
                  <w:vAlign w:val="center"/>
                </w:tcPr>
                <w:p>
                  <w:pPr>
                    <w:jc w:val="center"/>
                    <w:rPr>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污染物</w:t>
                  </w:r>
                </w:p>
              </w:tc>
              <w:tc>
                <w:tcPr>
                  <w:tcW w:w="868"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预测质量浓度</w:t>
                  </w:r>
                  <w:r>
                    <w:rPr>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μg/m</w:t>
                  </w:r>
                  <w:r>
                    <w:rPr>
                      <w:b/>
                      <w:color w:val="000000" w:themeColor="text1"/>
                      <w:szCs w:val="21"/>
                      <w:vertAlign w:val="superscript"/>
                      <w14:textFill>
                        <w14:solidFill>
                          <w14:schemeClr w14:val="tx1"/>
                        </w14:solidFill>
                      </w14:textFill>
                    </w:rPr>
                    <w:t>3</w:t>
                  </w:r>
                  <w:r>
                    <w:rPr>
                      <w:rFonts w:hint="eastAsia"/>
                      <w:b/>
                      <w:color w:val="000000" w:themeColor="text1"/>
                      <w:szCs w:val="21"/>
                      <w14:textFill>
                        <w14:solidFill>
                          <w14:schemeClr w14:val="tx1"/>
                        </w14:solidFill>
                      </w14:textFill>
                    </w:rPr>
                    <w:t>）</w:t>
                  </w:r>
                </w:p>
              </w:tc>
              <w:tc>
                <w:tcPr>
                  <w:tcW w:w="787"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占标率</w:t>
                  </w:r>
                  <w:r>
                    <w:rPr>
                      <w:b/>
                      <w:color w:val="000000" w:themeColor="text1"/>
                      <w:szCs w:val="21"/>
                      <w14:textFill>
                        <w14:solidFill>
                          <w14:schemeClr w14:val="tx1"/>
                        </w14:solidFill>
                      </w14:textFill>
                    </w:rPr>
                    <w:t>/%</w:t>
                  </w:r>
                </w:p>
              </w:tc>
              <w:tc>
                <w:tcPr>
                  <w:tcW w:w="799"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最大浓度落地点</w:t>
                  </w:r>
                  <w:r>
                    <w:rPr>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m</w:t>
                  </w:r>
                  <w:r>
                    <w:rPr>
                      <w:rFonts w:hint="eastAsia"/>
                      <w:b/>
                      <w:color w:val="000000" w:themeColor="text1"/>
                      <w:szCs w:val="21"/>
                      <w14:textFill>
                        <w14:solidFill>
                          <w14:schemeClr w14:val="tx1"/>
                        </w14:solidFill>
                      </w14:textFill>
                    </w:rPr>
                    <w:t>）</w:t>
                  </w:r>
                </w:p>
              </w:tc>
            </w:tr>
            <w:tr>
              <w:tblPrEx>
                <w:tblBorders>
                  <w:top w:val="single" w:color="000000" w:sz="12" w:space="0"/>
                  <w:left w:val="single" w:color="000000" w:sz="6" w:space="0"/>
                  <w:bottom w:val="single" w:color="000000" w:sz="12"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439" w:type="pct"/>
                  <w:tcBorders>
                    <w:tl2br w:val="nil"/>
                    <w:tr2bl w:val="nil"/>
                  </w:tcBorders>
                  <w:vAlign w:val="center"/>
                </w:tcPr>
                <w:p>
                  <w:pPr>
                    <w:jc w:val="center"/>
                    <w:rPr>
                      <w:iCs/>
                      <w:color w:val="000000" w:themeColor="text1"/>
                      <w:szCs w:val="21"/>
                      <w14:textFill>
                        <w14:solidFill>
                          <w14:schemeClr w14:val="tx1"/>
                        </w14:solidFill>
                      </w14:textFill>
                    </w:rPr>
                  </w:pPr>
                  <w:r>
                    <w:rPr>
                      <w:rFonts w:hint="eastAsia"/>
                      <w:iCs/>
                      <w:color w:val="000000" w:themeColor="text1"/>
                      <w:szCs w:val="21"/>
                      <w14:textFill>
                        <w14:solidFill>
                          <w14:schemeClr w14:val="tx1"/>
                        </w14:solidFill>
                      </w14:textFill>
                    </w:rPr>
                    <w:t>点源</w:t>
                  </w:r>
                </w:p>
              </w:tc>
              <w:tc>
                <w:tcPr>
                  <w:tcW w:w="439" w:type="pct"/>
                  <w:tcBorders>
                    <w:tl2br w:val="nil"/>
                    <w:tr2bl w:val="nil"/>
                  </w:tcBorders>
                  <w:vAlign w:val="center"/>
                </w:tcPr>
                <w:p>
                  <w:pPr>
                    <w:jc w:val="center"/>
                    <w:rPr>
                      <w:iCs/>
                      <w:color w:val="000000" w:themeColor="text1"/>
                      <w:szCs w:val="21"/>
                      <w14:textFill>
                        <w14:solidFill>
                          <w14:schemeClr w14:val="tx1"/>
                        </w14:solidFill>
                      </w14:textFill>
                    </w:rPr>
                  </w:pPr>
                  <w:r>
                    <w:rPr>
                      <w:rFonts w:hint="eastAsia"/>
                      <w:iCs/>
                      <w:color w:val="000000" w:themeColor="text1"/>
                      <w:szCs w:val="21"/>
                      <w14:textFill>
                        <w14:solidFill>
                          <w14:schemeClr w14:val="tx1"/>
                        </w14:solidFill>
                      </w14:textFill>
                    </w:rPr>
                    <w:t>DA001</w:t>
                  </w:r>
                </w:p>
              </w:tc>
              <w:tc>
                <w:tcPr>
                  <w:tcW w:w="873" w:type="pct"/>
                  <w:tcBorders>
                    <w:tl2br w:val="nil"/>
                    <w:tr2bl w:val="nil"/>
                  </w:tcBorders>
                  <w:vAlign w:val="center"/>
                </w:tcPr>
                <w:p>
                  <w:pPr>
                    <w:adjustRightInd w:val="0"/>
                    <w:snapToGrid w:val="0"/>
                    <w:jc w:val="center"/>
                    <w:rPr>
                      <w:bCs/>
                      <w:color w:val="000000" w:themeColor="text1"/>
                      <w:spacing w:val="5"/>
                      <w:szCs w:val="21"/>
                      <w14:textFill>
                        <w14:solidFill>
                          <w14:schemeClr w14:val="tx1"/>
                        </w14:solidFill>
                      </w14:textFill>
                    </w:rPr>
                  </w:pPr>
                  <w:r>
                    <w:rPr>
                      <w:rFonts w:hint="eastAsia"/>
                      <w:bCs/>
                      <w:color w:val="000000" w:themeColor="text1"/>
                      <w:szCs w:val="21"/>
                      <w14:textFill>
                        <w14:solidFill>
                          <w14:schemeClr w14:val="tx1"/>
                        </w14:solidFill>
                      </w14:textFill>
                    </w:rPr>
                    <w:t>破碎</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86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18.035</w:t>
                  </w:r>
                </w:p>
              </w:tc>
              <w:tc>
                <w:tcPr>
                  <w:tcW w:w="787"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4.008</w:t>
                  </w:r>
                </w:p>
              </w:tc>
              <w:tc>
                <w:tcPr>
                  <w:tcW w:w="799"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168</w:t>
                  </w:r>
                </w:p>
              </w:tc>
            </w:tr>
          </w:tbl>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（5）判定结果</w:t>
            </w:r>
          </w:p>
          <w:p>
            <w:pPr>
              <w:pStyle w:val="4"/>
              <w:widowControl/>
              <w:tabs>
                <w:tab w:val="left" w:pos="0"/>
                <w:tab w:val="left" w:pos="2269"/>
              </w:tabs>
              <w:spacing w:line="480" w:lineRule="exact"/>
              <w:ind w:firstLine="482" w:firstLineChars="200"/>
              <w:jc w:val="left"/>
              <w:rPr>
                <w:color w:val="000000" w:themeColor="text1"/>
                <w:sz w:val="24"/>
                <w14:textFill>
                  <w14:solidFill>
                    <w14:schemeClr w14:val="tx1"/>
                  </w14:solidFill>
                </w14:textFill>
              </w:rPr>
            </w:pPr>
            <w:r>
              <w:rPr>
                <w:bCs w:val="0"/>
                <w:color w:val="000000" w:themeColor="text1"/>
                <w:sz w:val="24"/>
                <w14:textFill>
                  <w14:solidFill>
                    <w14:schemeClr w14:val="tx1"/>
                  </w14:solidFill>
                </w14:textFill>
              </w:rPr>
              <w:t>P</w:t>
            </w:r>
            <w:r>
              <w:rPr>
                <w:bCs w:val="0"/>
                <w:color w:val="000000" w:themeColor="text1"/>
                <w:sz w:val="24"/>
                <w:vertAlign w:val="subscript"/>
                <w14:textFill>
                  <w14:solidFill>
                    <w14:schemeClr w14:val="tx1"/>
                  </w14:solidFill>
                </w14:textFill>
              </w:rPr>
              <w:t>max</w:t>
            </w:r>
            <w:r>
              <w:rPr>
                <w:bCs w:val="0"/>
                <w:color w:val="000000" w:themeColor="text1"/>
                <w:sz w:val="24"/>
                <w14:textFill>
                  <w14:solidFill>
                    <w14:schemeClr w14:val="tx1"/>
                  </w14:solidFill>
                </w14:textFill>
              </w:rPr>
              <w:t>=</w:t>
            </w:r>
            <w:r>
              <w:rPr>
                <w:rFonts w:hint="eastAsia"/>
                <w:bCs w:val="0"/>
                <w:color w:val="000000" w:themeColor="text1"/>
                <w:sz w:val="24"/>
                <w14:textFill>
                  <w14:solidFill>
                    <w14:schemeClr w14:val="tx1"/>
                  </w14:solidFill>
                </w14:textFill>
              </w:rPr>
              <w:t>4.08</w:t>
            </w:r>
            <w:r>
              <w:rPr>
                <w:bCs w:val="0"/>
                <w:color w:val="000000" w:themeColor="text1"/>
                <w:sz w:val="24"/>
                <w14:textFill>
                  <w14:solidFill>
                    <w14:schemeClr w14:val="tx1"/>
                  </w14:solidFill>
                </w14:textFill>
              </w:rPr>
              <w:t>%</w:t>
            </w:r>
            <w:r>
              <w:rPr>
                <w:rFonts w:hint="eastAsia"/>
                <w:bCs w:val="0"/>
                <w:color w:val="000000" w:themeColor="text1"/>
                <w:sz w:val="24"/>
                <w14:textFill>
                  <w14:solidFill>
                    <w14:schemeClr w14:val="tx1"/>
                  </w14:solidFill>
                </w14:textFill>
              </w:rPr>
              <w:t>，</w:t>
            </w:r>
            <w:r>
              <w:rPr>
                <w:bCs w:val="0"/>
                <w:color w:val="000000" w:themeColor="text1"/>
                <w:sz w:val="24"/>
                <w14:textFill>
                  <w14:solidFill>
                    <w14:schemeClr w14:val="tx1"/>
                  </w14:solidFill>
                </w14:textFill>
              </w:rPr>
              <w:t>1%</w:t>
            </w:r>
            <w:r>
              <w:rPr>
                <w:rFonts w:hint="eastAsia"/>
                <w:color w:val="000000" w:themeColor="text1"/>
                <w:szCs w:val="21"/>
                <w14:textFill>
                  <w14:solidFill>
                    <w14:schemeClr w14:val="tx1"/>
                  </w14:solidFill>
                </w14:textFill>
              </w:rPr>
              <w:t>≤</w:t>
            </w:r>
            <w:r>
              <w:rPr>
                <w:bCs w:val="0"/>
                <w:color w:val="000000" w:themeColor="text1"/>
                <w:sz w:val="24"/>
                <w14:textFill>
                  <w14:solidFill>
                    <w14:schemeClr w14:val="tx1"/>
                  </w14:solidFill>
                </w14:textFill>
              </w:rPr>
              <w:t>P</w:t>
            </w:r>
            <w:r>
              <w:rPr>
                <w:bCs w:val="0"/>
                <w:color w:val="000000" w:themeColor="text1"/>
                <w:sz w:val="24"/>
                <w:vertAlign w:val="subscript"/>
                <w14:textFill>
                  <w14:solidFill>
                    <w14:schemeClr w14:val="tx1"/>
                  </w14:solidFill>
                </w14:textFill>
              </w:rPr>
              <w:t>max</w:t>
            </w:r>
            <w:r>
              <w:rPr>
                <w:rFonts w:hint="eastAsia"/>
                <w:bCs w:val="0"/>
                <w:color w:val="000000" w:themeColor="text1"/>
                <w:sz w:val="24"/>
                <w14:textFill>
                  <w14:solidFill>
                    <w14:schemeClr w14:val="tx1"/>
                  </w14:solidFill>
                </w14:textFill>
              </w:rPr>
              <w:t>＜</w:t>
            </w:r>
            <w:r>
              <w:rPr>
                <w:bCs w:val="0"/>
                <w:color w:val="000000" w:themeColor="text1"/>
                <w:sz w:val="24"/>
                <w14:textFill>
                  <w14:solidFill>
                    <w14:schemeClr w14:val="tx1"/>
                  </w14:solidFill>
                </w14:textFill>
              </w:rPr>
              <w:t>10%</w:t>
            </w:r>
            <w:r>
              <w:rPr>
                <w:rFonts w:hint="eastAsia"/>
                <w:bCs w:val="0"/>
                <w:color w:val="000000" w:themeColor="text1"/>
                <w:sz w:val="24"/>
                <w14:textFill>
                  <w14:solidFill>
                    <w14:schemeClr w14:val="tx1"/>
                  </w14:solidFill>
                </w14:textFill>
              </w:rPr>
              <w:t>。因此，本项目大气环境评价等级为二级。</w:t>
            </w:r>
          </w:p>
          <w:p>
            <w:pPr>
              <w:pStyle w:val="7"/>
              <w:tabs>
                <w:tab w:val="left" w:pos="0"/>
              </w:tabs>
              <w:spacing w:beforeLines="0"/>
              <w:ind w:firstLine="504" w:firstLineChars="200"/>
              <w:rPr>
                <w:color w:val="000000" w:themeColor="text1"/>
                <w:kern w:val="2"/>
                <w:sz w:val="24"/>
                <w:szCs w:val="24"/>
                <w14:textFill>
                  <w14:solidFill>
                    <w14:schemeClr w14:val="tx1"/>
                  </w14:solidFill>
                </w14:textFill>
              </w:rPr>
            </w:pPr>
            <w:r>
              <w:rPr>
                <w:rFonts w:cs="宋体"/>
                <w:color w:val="000000" w:themeColor="text1"/>
                <w:spacing w:val="6"/>
                <w:kern w:val="2"/>
                <w:sz w:val="24"/>
                <w14:textFill>
                  <w14:solidFill>
                    <w14:schemeClr w14:val="tx1"/>
                  </w14:solidFill>
                </w14:textFill>
              </w:rPr>
              <w:t>（</w:t>
            </w:r>
            <w:r>
              <w:rPr>
                <w:rFonts w:hint="eastAsia" w:cs="宋体"/>
                <w:color w:val="000000" w:themeColor="text1"/>
                <w:spacing w:val="6"/>
                <w:kern w:val="2"/>
                <w:sz w:val="24"/>
                <w14:textFill>
                  <w14:solidFill>
                    <w14:schemeClr w14:val="tx1"/>
                  </w14:solidFill>
                </w14:textFill>
              </w:rPr>
              <w:t>6</w:t>
            </w:r>
            <w:r>
              <w:rPr>
                <w:rFonts w:cs="宋体"/>
                <w:color w:val="000000" w:themeColor="text1"/>
                <w:spacing w:val="6"/>
                <w:kern w:val="2"/>
                <w:sz w:val="24"/>
                <w14:textFill>
                  <w14:solidFill>
                    <w14:schemeClr w14:val="tx1"/>
                  </w14:solidFill>
                </w14:textFill>
              </w:rPr>
              <w:t>）</w:t>
            </w:r>
            <w:r>
              <w:rPr>
                <w:color w:val="000000" w:themeColor="text1"/>
                <w:kern w:val="2"/>
                <w:sz w:val="24"/>
                <w:szCs w:val="24"/>
                <w14:textFill>
                  <w14:solidFill>
                    <w14:schemeClr w14:val="tx1"/>
                  </w14:solidFill>
                </w14:textFill>
              </w:rPr>
              <w:t>估算模型计算结果分析</w:t>
            </w:r>
          </w:p>
          <w:p>
            <w:pPr>
              <w:spacing w:line="500" w:lineRule="atLeas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采用估算模式计算PM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在复杂地形、全气象组合情况下地面影响质量浓度和范围，并计算相应的占标率。本次评价分别取各污染源污染物估算结果最大值作为环境空气质量预测分析的数据，计算结果见下表。</w:t>
            </w:r>
          </w:p>
          <w:p>
            <w:pPr>
              <w:spacing w:before="50" w:line="48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表7-8  污染物估算模式计算结果一览表</w:t>
            </w:r>
          </w:p>
          <w:tbl>
            <w:tblPr>
              <w:tblStyle w:val="32"/>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430"/>
              <w:gridCol w:w="3115"/>
              <w:gridCol w:w="2764"/>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vMerge w:val="restart"/>
                  <w:tcBorders>
                    <w:top w:val="single" w:color="auto" w:sz="12"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距源中心下风向距离</w:t>
                  </w:r>
                  <w:r>
                    <w:rPr>
                      <w:color w:val="000000" w:themeColor="text1"/>
                      <w:szCs w:val="21"/>
                      <w14:textFill>
                        <w14:solidFill>
                          <w14:schemeClr w14:val="tx1"/>
                        </w14:solidFill>
                      </w14:textFill>
                    </w:rPr>
                    <w:t>)</w:t>
                  </w:r>
                </w:p>
              </w:tc>
              <w:tc>
                <w:tcPr>
                  <w:tcW w:w="3157" w:type="pct"/>
                  <w:gridSpan w:val="2"/>
                  <w:tcBorders>
                    <w:top w:val="single" w:color="auto" w:sz="12"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破碎粉尘</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3430"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预测质量浓度</w:t>
                  </w:r>
                  <w:r>
                    <w:rPr>
                      <w:color w:val="000000" w:themeColor="text1"/>
                      <w:szCs w:val="21"/>
                      <w14:textFill>
                        <w14:solidFill>
                          <w14:schemeClr w14:val="tx1"/>
                        </w14:solidFill>
                      </w14:textFill>
                    </w:rPr>
                    <w:t>(µg/m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占标率（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0.321</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0.071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2.532</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0.563</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8.125</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1.805</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75</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13.256</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2.946</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14.245</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3.165</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125</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16.235</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3.608</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6"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16.102</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3.578</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17.525</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3.894</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15.859</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3.524</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12.021</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2.671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10.254</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2.279</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9.895</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2.199</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9.331</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2.073</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8.252</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1.834</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7.810</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1.735</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7.499</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1.666</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6.831</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1.518</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5.380</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1.195</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4.061</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0.902</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3.252</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0.723</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2.871</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0.638</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0.211</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0.047</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0.019</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0.004</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0.015</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0.003</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0.010</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0.002</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0.001</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0.0002</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下风向最大质量浓度及占标率</w:t>
                  </w:r>
                  <w:r>
                    <w:rPr>
                      <w:color w:val="000000" w:themeColor="text1"/>
                      <w:szCs w:val="21"/>
                      <w14:textFill>
                        <w14:solidFill>
                          <w14:schemeClr w14:val="tx1"/>
                        </w14:solidFill>
                      </w14:textFill>
                    </w:rPr>
                    <w:t>/%</w:t>
                  </w:r>
                </w:p>
              </w:tc>
              <w:tc>
                <w:tcPr>
                  <w:tcW w:w="1673" w:type="pct"/>
                  <w:tcBorders>
                    <w:top w:val="single" w:color="auto" w:sz="6" w:space="0"/>
                    <w:left w:val="single" w:color="auto" w:sz="4"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18.035</w:t>
                  </w:r>
                </w:p>
              </w:tc>
              <w:tc>
                <w:tcPr>
                  <w:tcW w:w="2764"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4.008</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最大浓度落地点</w:t>
                  </w:r>
                  <w:r>
                    <w:rPr>
                      <w:color w:val="000000" w:themeColor="text1"/>
                      <w:szCs w:val="21"/>
                      <w14:textFill>
                        <w14:solidFill>
                          <w14:schemeClr w14:val="tx1"/>
                        </w14:solidFill>
                      </w14:textFill>
                    </w:rPr>
                    <w:t>/m</w:t>
                  </w:r>
                </w:p>
              </w:tc>
              <w:tc>
                <w:tcPr>
                  <w:tcW w:w="3157" w:type="pct"/>
                  <w:gridSpan w:val="2"/>
                  <w:tcBorders>
                    <w:top w:val="single" w:color="auto" w:sz="6" w:space="0"/>
                    <w:left w:val="single" w:color="auto" w:sz="4" w:space="0"/>
                    <w:bottom w:val="single" w:color="auto" w:sz="12"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168</w:t>
                  </w:r>
                  <w:r>
                    <w:rPr>
                      <w:color w:val="000000" w:themeColor="text1"/>
                      <w:szCs w:val="21"/>
                      <w14:textFill>
                        <w14:solidFill>
                          <w14:schemeClr w14:val="tx1"/>
                        </w14:solidFill>
                      </w14:textFill>
                    </w:rPr>
                    <w:t>m</w:t>
                  </w:r>
                </w:p>
              </w:tc>
            </w:tr>
          </w:tbl>
          <w:p>
            <w:pPr>
              <w:snapToGrid w:val="0"/>
              <w:spacing w:line="480" w:lineRule="exact"/>
              <w:ind w:firstLine="504" w:firstLineChars="200"/>
              <w:jc w:val="left"/>
              <w:rPr>
                <w:rFonts w:cs="宋体"/>
                <w:color w:val="000000" w:themeColor="text1"/>
                <w:spacing w:val="6"/>
                <w:sz w:val="24"/>
                <w14:textFill>
                  <w14:solidFill>
                    <w14:schemeClr w14:val="tx1"/>
                  </w14:solidFill>
                </w14:textFill>
              </w:rPr>
            </w:pPr>
            <w:r>
              <w:rPr>
                <w:rFonts w:cs="宋体"/>
                <w:color w:val="000000" w:themeColor="text1"/>
                <w:spacing w:val="6"/>
                <w:sz w:val="24"/>
                <w14:textFill>
                  <w14:solidFill>
                    <w14:schemeClr w14:val="tx1"/>
                  </w14:solidFill>
                </w14:textFill>
              </w:rPr>
              <w:t>由</w:t>
            </w:r>
            <w:r>
              <w:rPr>
                <w:rFonts w:hint="eastAsia" w:cs="宋体"/>
                <w:color w:val="000000" w:themeColor="text1"/>
                <w:spacing w:val="6"/>
                <w:sz w:val="24"/>
                <w14:textFill>
                  <w14:solidFill>
                    <w14:schemeClr w14:val="tx1"/>
                  </w14:solidFill>
                </w14:textFill>
              </w:rPr>
              <w:t>表7-8</w:t>
            </w:r>
            <w:r>
              <w:rPr>
                <w:rFonts w:cs="宋体"/>
                <w:color w:val="000000" w:themeColor="text1"/>
                <w:spacing w:val="6"/>
                <w:sz w:val="24"/>
                <w14:textFill>
                  <w14:solidFill>
                    <w14:schemeClr w14:val="tx1"/>
                  </w14:solidFill>
                </w14:textFill>
              </w:rPr>
              <w:t>可知，</w:t>
            </w:r>
            <w:r>
              <w:rPr>
                <w:rFonts w:hint="eastAsia" w:cs="宋体"/>
                <w:color w:val="000000" w:themeColor="text1"/>
                <w:spacing w:val="6"/>
                <w:sz w:val="24"/>
                <w14:textFill>
                  <w14:solidFill>
                    <w14:schemeClr w14:val="tx1"/>
                  </w14:solidFill>
                </w14:textFill>
              </w:rPr>
              <w:t>正常</w:t>
            </w:r>
            <w:r>
              <w:rPr>
                <w:rFonts w:cs="宋体"/>
                <w:color w:val="000000" w:themeColor="text1"/>
                <w:spacing w:val="6"/>
                <w:sz w:val="24"/>
                <w14:textFill>
                  <w14:solidFill>
                    <w14:schemeClr w14:val="tx1"/>
                  </w14:solidFill>
                </w14:textFill>
              </w:rPr>
              <w:t>工况下</w:t>
            </w:r>
            <w:r>
              <w:rPr>
                <w:rFonts w:hint="eastAsia" w:cs="宋体"/>
                <w:color w:val="000000" w:themeColor="text1"/>
                <w:spacing w:val="6"/>
                <w:sz w:val="24"/>
                <w14:textFill>
                  <w14:solidFill>
                    <w14:schemeClr w14:val="tx1"/>
                  </w14:solidFill>
                </w14:textFill>
              </w:rPr>
              <w:t>，项目</w:t>
            </w:r>
            <w:r>
              <w:rPr>
                <w:rFonts w:hint="eastAsia"/>
                <w:color w:val="000000" w:themeColor="text1"/>
                <w:sz w:val="24"/>
                <w14:textFill>
                  <w14:solidFill>
                    <w14:schemeClr w14:val="tx1"/>
                  </w14:solidFill>
                </w14:textFill>
              </w:rPr>
              <w:t>破碎</w:t>
            </w:r>
            <w:r>
              <w:rPr>
                <w:rFonts w:hint="eastAsia" w:cs="宋体"/>
                <w:color w:val="000000" w:themeColor="text1"/>
                <w:spacing w:val="6"/>
                <w:sz w:val="24"/>
                <w14:textFill>
                  <w14:solidFill>
                    <w14:schemeClr w14:val="tx1"/>
                  </w14:solidFill>
                </w14:textFill>
              </w:rPr>
              <w:t>工序有</w:t>
            </w:r>
            <w:r>
              <w:rPr>
                <w:rFonts w:cs="宋体"/>
                <w:color w:val="000000" w:themeColor="text1"/>
                <w:spacing w:val="6"/>
                <w:sz w:val="24"/>
                <w14:textFill>
                  <w14:solidFill>
                    <w14:schemeClr w14:val="tx1"/>
                  </w14:solidFill>
                </w14:textFill>
              </w:rPr>
              <w:t>组织排放</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rFonts w:hint="eastAsia" w:cs="宋体"/>
                <w:color w:val="000000" w:themeColor="text1"/>
                <w:spacing w:val="6"/>
                <w:sz w:val="24"/>
                <w14:textFill>
                  <w14:solidFill>
                    <w14:schemeClr w14:val="tx1"/>
                  </w14:solidFill>
                </w14:textFill>
              </w:rPr>
              <w:t>的</w:t>
            </w:r>
            <w:r>
              <w:rPr>
                <w:rFonts w:cs="宋体"/>
                <w:color w:val="000000" w:themeColor="text1"/>
                <w:spacing w:val="6"/>
                <w:sz w:val="24"/>
                <w14:textFill>
                  <w14:solidFill>
                    <w14:schemeClr w14:val="tx1"/>
                  </w14:solidFill>
                </w14:textFill>
              </w:rPr>
              <w:t>最大落地浓度</w:t>
            </w:r>
            <w:r>
              <w:rPr>
                <w:rFonts w:hint="eastAsia" w:cs="宋体"/>
                <w:color w:val="000000" w:themeColor="text1"/>
                <w:spacing w:val="6"/>
                <w:sz w:val="24"/>
                <w14:textFill>
                  <w14:solidFill>
                    <w14:schemeClr w14:val="tx1"/>
                  </w14:solidFill>
                </w14:textFill>
              </w:rPr>
              <w:t>较小，</w:t>
            </w:r>
            <w:r>
              <w:rPr>
                <w:rFonts w:cs="宋体"/>
                <w:color w:val="000000" w:themeColor="text1"/>
                <w:spacing w:val="6"/>
                <w:sz w:val="24"/>
                <w14:textFill>
                  <w14:solidFill>
                    <w14:schemeClr w14:val="tx1"/>
                  </w14:solidFill>
                </w14:textFill>
              </w:rPr>
              <w:t>最大落地浓度出现</w:t>
            </w:r>
            <w:r>
              <w:rPr>
                <w:rFonts w:hint="eastAsia" w:cs="宋体"/>
                <w:color w:val="000000" w:themeColor="text1"/>
                <w:spacing w:val="6"/>
                <w:sz w:val="24"/>
                <w14:textFill>
                  <w14:solidFill>
                    <w14:schemeClr w14:val="tx1"/>
                  </w14:solidFill>
                </w14:textFill>
              </w:rPr>
              <w:t>距离</w:t>
            </w:r>
            <w:r>
              <w:rPr>
                <w:rFonts w:cs="宋体"/>
                <w:color w:val="000000" w:themeColor="text1"/>
                <w:spacing w:val="6"/>
                <w:sz w:val="24"/>
                <w14:textFill>
                  <w14:solidFill>
                    <w14:schemeClr w14:val="tx1"/>
                  </w14:solidFill>
                </w14:textFill>
              </w:rPr>
              <w:t>为</w:t>
            </w:r>
            <w:r>
              <w:rPr>
                <w:rFonts w:hint="eastAsia" w:cs="宋体"/>
                <w:color w:val="000000" w:themeColor="text1"/>
                <w:spacing w:val="6"/>
                <w:sz w:val="24"/>
                <w14:textFill>
                  <w14:solidFill>
                    <w14:schemeClr w14:val="tx1"/>
                  </w14:solidFill>
                </w14:textFill>
              </w:rPr>
              <w:t>168</w:t>
            </w:r>
            <w:r>
              <w:rPr>
                <w:rFonts w:cs="宋体"/>
                <w:color w:val="000000" w:themeColor="text1"/>
                <w:spacing w:val="6"/>
                <w:sz w:val="24"/>
                <w14:textFill>
                  <w14:solidFill>
                    <w14:schemeClr w14:val="tx1"/>
                  </w14:solidFill>
                </w14:textFill>
              </w:rPr>
              <w:t>m，</w:t>
            </w:r>
            <w:r>
              <w:rPr>
                <w:rFonts w:hint="eastAsia" w:cs="宋体"/>
                <w:color w:val="000000" w:themeColor="text1"/>
                <w:spacing w:val="6"/>
                <w:sz w:val="24"/>
                <w14:textFill>
                  <w14:solidFill>
                    <w14:schemeClr w14:val="tx1"/>
                  </w14:solidFill>
                </w14:textFill>
              </w:rPr>
              <w:t>下风向最大质量浓度为</w:t>
            </w:r>
            <w:r>
              <w:rPr>
                <w:rFonts w:hint="eastAsia"/>
                <w:color w:val="000000" w:themeColor="text1"/>
                <w:sz w:val="24"/>
                <w14:textFill>
                  <w14:solidFill>
                    <w14:schemeClr w14:val="tx1"/>
                  </w14:solidFill>
                </w14:textFill>
              </w:rPr>
              <w:t>18.035</w:t>
            </w:r>
            <w:r>
              <w:rPr>
                <w:color w:val="000000" w:themeColor="text1"/>
                <w:sz w:val="24"/>
                <w14:textFill>
                  <w14:solidFill>
                    <w14:schemeClr w14:val="tx1"/>
                  </w14:solidFill>
                </w14:textFill>
              </w:rPr>
              <w:t>µg/m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rFonts w:cs="宋体"/>
                <w:color w:val="000000" w:themeColor="text1"/>
                <w:spacing w:val="6"/>
                <w:sz w:val="24"/>
                <w14:textFill>
                  <w14:solidFill>
                    <w14:schemeClr w14:val="tx1"/>
                  </w14:solidFill>
                </w14:textFill>
              </w:rPr>
              <w:t>最大落地浓度占标率为</w:t>
            </w:r>
            <w:r>
              <w:rPr>
                <w:rFonts w:hint="eastAsia" w:hAnsi="宋体" w:cs="宋体"/>
                <w:color w:val="000000" w:themeColor="text1"/>
                <w:sz w:val="24"/>
                <w14:textFill>
                  <w14:solidFill>
                    <w14:schemeClr w14:val="tx1"/>
                  </w14:solidFill>
                </w14:textFill>
              </w:rPr>
              <w:t>4.008</w:t>
            </w:r>
            <w:r>
              <w:rPr>
                <w:rFonts w:cs="宋体"/>
                <w:color w:val="000000" w:themeColor="text1"/>
                <w:spacing w:val="6"/>
                <w:sz w:val="24"/>
                <w14:textFill>
                  <w14:solidFill>
                    <w14:schemeClr w14:val="tx1"/>
                  </w14:solidFill>
                </w14:textFill>
              </w:rPr>
              <w:t>%</w:t>
            </w:r>
            <w:r>
              <w:rPr>
                <w:rFonts w:hint="eastAsia" w:cs="宋体"/>
                <w:color w:val="000000" w:themeColor="text1"/>
                <w:spacing w:val="6"/>
                <w:sz w:val="24"/>
                <w14:textFill>
                  <w14:solidFill>
                    <w14:schemeClr w14:val="tx1"/>
                  </w14:solidFill>
                </w14:textFill>
              </w:rPr>
              <w:t>，</w:t>
            </w:r>
            <w:r>
              <w:rPr>
                <w:rFonts w:cs="宋体"/>
                <w:color w:val="000000" w:themeColor="text1"/>
                <w:spacing w:val="6"/>
                <w:sz w:val="24"/>
                <w14:textFill>
                  <w14:solidFill>
                    <w14:schemeClr w14:val="tx1"/>
                  </w14:solidFill>
                </w14:textFill>
              </w:rPr>
              <w:t>对周围大气环境的影响</w:t>
            </w:r>
            <w:r>
              <w:rPr>
                <w:rFonts w:hint="eastAsia" w:cs="宋体"/>
                <w:color w:val="000000" w:themeColor="text1"/>
                <w:spacing w:val="6"/>
                <w:sz w:val="24"/>
                <w14:textFill>
                  <w14:solidFill>
                    <w14:schemeClr w14:val="tx1"/>
                  </w14:solidFill>
                </w14:textFill>
              </w:rPr>
              <w:t>较小</w:t>
            </w:r>
            <w:r>
              <w:rPr>
                <w:rFonts w:cs="宋体"/>
                <w:color w:val="000000" w:themeColor="text1"/>
                <w:spacing w:val="6"/>
                <w:sz w:val="24"/>
                <w14:textFill>
                  <w14:solidFill>
                    <w14:schemeClr w14:val="tx1"/>
                  </w14:solidFill>
                </w14:textFill>
              </w:rPr>
              <w:t>。</w:t>
            </w:r>
          </w:p>
          <w:p>
            <w:pPr>
              <w:spacing w:line="480" w:lineRule="exact"/>
              <w:outlineLvl w:val="2"/>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w:t>
            </w:r>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）污染物排放量核算</w:t>
            </w:r>
          </w:p>
          <w:p>
            <w:pPr>
              <w:spacing w:line="480" w:lineRule="exact"/>
              <w:ind w:firstLine="480" w:firstLineChars="200"/>
              <w:rPr>
                <w:rFonts w:eastAsia="黑体"/>
                <w:color w:val="000000" w:themeColor="text1"/>
                <w:sz w:val="24"/>
                <w:szCs w:val="21"/>
                <w14:textFill>
                  <w14:solidFill>
                    <w14:schemeClr w14:val="tx1"/>
                  </w14:solidFill>
                </w14:textFill>
              </w:rPr>
            </w:pPr>
            <w:r>
              <w:rPr>
                <w:rFonts w:eastAsia="黑体"/>
                <w:color w:val="000000" w:themeColor="text1"/>
                <w:sz w:val="24"/>
                <w:szCs w:val="21"/>
                <w14:textFill>
                  <w14:solidFill>
                    <w14:schemeClr w14:val="tx1"/>
                  </w14:solidFill>
                </w14:textFill>
              </w:rPr>
              <w:t>1</w:t>
            </w:r>
            <w:r>
              <w:rPr>
                <w:rFonts w:hint="eastAsia" w:eastAsia="黑体"/>
                <w:color w:val="000000" w:themeColor="text1"/>
                <w:sz w:val="24"/>
                <w:szCs w:val="21"/>
                <w14:textFill>
                  <w14:solidFill>
                    <w14:schemeClr w14:val="tx1"/>
                  </w14:solidFill>
                </w14:textFill>
              </w:rPr>
              <w:t>、有组织排放量核算</w:t>
            </w:r>
          </w:p>
          <w:p>
            <w:pPr>
              <w:spacing w:line="480" w:lineRule="exact"/>
              <w:ind w:firstLine="424" w:firstLineChars="177"/>
              <w:rPr>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本项目有组织污染物排放量详见下表7-9。</w:t>
            </w:r>
          </w:p>
          <w:p>
            <w:pPr>
              <w:spacing w:line="480" w:lineRule="atLeast"/>
              <w:jc w:val="center"/>
              <w:rPr>
                <w:rFonts w:ascii="宋体" w:hAnsi="宋体" w:cs="宋体"/>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表7-9 大气</w:t>
            </w:r>
            <w:r>
              <w:rPr>
                <w:rFonts w:hint="eastAsia" w:ascii="宋体" w:hAnsi="宋体" w:cs="宋体"/>
                <w:b/>
                <w:bCs/>
                <w:color w:val="000000" w:themeColor="text1"/>
                <w:sz w:val="24"/>
                <w14:textFill>
                  <w14:solidFill>
                    <w14:schemeClr w14:val="tx1"/>
                  </w14:solidFill>
                </w14:textFill>
              </w:rPr>
              <w:t>污染物有组织排放量核算表</w:t>
            </w:r>
          </w:p>
          <w:tbl>
            <w:tblPr>
              <w:tblStyle w:val="32"/>
              <w:tblW w:w="9304"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4"/>
              <w:gridCol w:w="1276"/>
              <w:gridCol w:w="850"/>
              <w:gridCol w:w="2268"/>
              <w:gridCol w:w="2127"/>
              <w:gridCol w:w="208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694" w:type="dxa"/>
                  <w:tcBorders>
                    <w:top w:val="single" w:color="000000" w:sz="8" w:space="0"/>
                    <w:left w:val="single" w:color="000000" w:sz="8"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1276" w:type="dxa"/>
                  <w:tcBorders>
                    <w:top w:val="single" w:color="000000" w:sz="8"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排放口编号</w:t>
                  </w:r>
                </w:p>
              </w:tc>
              <w:tc>
                <w:tcPr>
                  <w:tcW w:w="850" w:type="dxa"/>
                  <w:tcBorders>
                    <w:top w:val="single" w:color="000000" w:sz="8"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w:t>
                  </w:r>
                </w:p>
              </w:tc>
              <w:tc>
                <w:tcPr>
                  <w:tcW w:w="2268" w:type="dxa"/>
                  <w:tcBorders>
                    <w:top w:val="single" w:color="000000" w:sz="8"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核算排放浓度</w:t>
                  </w:r>
                  <w:r>
                    <w:rPr>
                      <w:color w:val="000000" w:themeColor="text1"/>
                      <w:szCs w:val="21"/>
                      <w14:textFill>
                        <w14:solidFill>
                          <w14:schemeClr w14:val="tx1"/>
                        </w14:solidFill>
                      </w14:textFill>
                    </w:rPr>
                    <w:t>/(mg/m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w:t>
                  </w:r>
                </w:p>
              </w:tc>
              <w:tc>
                <w:tcPr>
                  <w:tcW w:w="2127" w:type="dxa"/>
                  <w:tcBorders>
                    <w:top w:val="single" w:color="000000" w:sz="8"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核算排放速率</w:t>
                  </w:r>
                  <w:r>
                    <w:rPr>
                      <w:color w:val="000000" w:themeColor="text1"/>
                      <w:szCs w:val="21"/>
                      <w14:textFill>
                        <w14:solidFill>
                          <w14:schemeClr w14:val="tx1"/>
                        </w14:solidFill>
                      </w14:textFill>
                    </w:rPr>
                    <w:t>/(kg/h)</w:t>
                  </w:r>
                </w:p>
              </w:tc>
              <w:tc>
                <w:tcPr>
                  <w:tcW w:w="2089" w:type="dxa"/>
                  <w:tcBorders>
                    <w:top w:val="single" w:color="000000" w:sz="8" w:space="0"/>
                    <w:left w:val="single" w:color="000000" w:sz="6"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核算年排放量</w:t>
                  </w:r>
                  <w:r>
                    <w:rPr>
                      <w:color w:val="000000" w:themeColor="text1"/>
                      <w:szCs w:val="21"/>
                      <w14:textFill>
                        <w14:solidFill>
                          <w14:schemeClr w14:val="tx1"/>
                        </w14:solidFill>
                      </w14:textFill>
                    </w:rPr>
                    <w:t>/(t/a)</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9304" w:type="dxa"/>
                  <w:gridSpan w:val="6"/>
                  <w:tcBorders>
                    <w:top w:val="single" w:color="000000" w:sz="6" w:space="0"/>
                    <w:left w:val="single" w:color="000000" w:sz="8"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一般排放口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694" w:type="dxa"/>
                  <w:tcBorders>
                    <w:top w:val="single" w:color="000000" w:sz="6" w:space="0"/>
                    <w:left w:val="single" w:color="000000" w:sz="8"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276" w:type="dxa"/>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DA001</w:t>
                  </w:r>
                </w:p>
              </w:tc>
              <w:tc>
                <w:tcPr>
                  <w:tcW w:w="850" w:type="dxa"/>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2127" w:type="dxa"/>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2</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96</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12" w:hRule="atLeast"/>
              </w:trPr>
              <w:tc>
                <w:tcPr>
                  <w:tcW w:w="1970" w:type="dxa"/>
                  <w:gridSpan w:val="2"/>
                  <w:vMerge w:val="restart"/>
                  <w:tcBorders>
                    <w:top w:val="single" w:color="000000" w:sz="6" w:space="0"/>
                    <w:left w:val="single" w:color="000000" w:sz="8"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一般排放口合计</w:t>
                  </w: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0.96</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continue"/>
                  <w:tcBorders>
                    <w:top w:val="single" w:color="000000" w:sz="6" w:space="0"/>
                    <w:left w:val="single" w:color="000000" w:sz="8" w:space="0"/>
                    <w:bottom w:val="single" w:color="000000" w:sz="6" w:space="0"/>
                    <w:right w:val="single" w:color="000000" w:sz="6" w:space="0"/>
                  </w:tcBorders>
                  <w:vAlign w:val="center"/>
                </w:tcPr>
                <w:p>
                  <w:pPr>
                    <w:widowControl/>
                    <w:jc w:val="left"/>
                    <w:rPr>
                      <w:color w:val="000000" w:themeColor="text1"/>
                      <w:szCs w:val="21"/>
                      <w14:textFill>
                        <w14:solidFill>
                          <w14:schemeClr w14:val="tx1"/>
                        </w14:solidFill>
                      </w14:textFill>
                    </w:rPr>
                  </w:pP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bCs/>
                      <w:color w:val="000000" w:themeColor="text1"/>
                      <w:szCs w:val="21"/>
                      <w14:textFill>
                        <w14:solidFill>
                          <w14:schemeClr w14:val="tx1"/>
                        </w14:solidFill>
                      </w14:textFill>
                    </w:rPr>
                    <w:t>SO</w:t>
                  </w:r>
                  <w:r>
                    <w:rPr>
                      <w:bCs/>
                      <w:color w:val="000000" w:themeColor="text1"/>
                      <w:szCs w:val="21"/>
                      <w:vertAlign w:val="subscript"/>
                      <w14:textFill>
                        <w14:solidFill>
                          <w14:schemeClr w14:val="tx1"/>
                        </w14:solidFill>
                      </w14:textFill>
                    </w:rPr>
                    <w:t>2</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continue"/>
                  <w:tcBorders>
                    <w:top w:val="single" w:color="000000" w:sz="6" w:space="0"/>
                    <w:left w:val="single" w:color="000000" w:sz="8" w:space="0"/>
                    <w:bottom w:val="single" w:color="000000" w:sz="6" w:space="0"/>
                    <w:right w:val="single" w:color="000000" w:sz="6" w:space="0"/>
                  </w:tcBorders>
                  <w:vAlign w:val="center"/>
                </w:tcPr>
                <w:p>
                  <w:pPr>
                    <w:widowControl/>
                    <w:jc w:val="left"/>
                    <w:rPr>
                      <w:color w:val="000000" w:themeColor="text1"/>
                      <w:szCs w:val="21"/>
                      <w14:textFill>
                        <w14:solidFill>
                          <w14:schemeClr w14:val="tx1"/>
                        </w14:solidFill>
                      </w14:textFill>
                    </w:rPr>
                  </w:pP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NOx</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9304" w:type="dxa"/>
                  <w:gridSpan w:val="6"/>
                  <w:tcBorders>
                    <w:top w:val="single" w:color="000000" w:sz="6" w:space="0"/>
                    <w:left w:val="single" w:color="000000" w:sz="8"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有组织排放总计</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restart"/>
                  <w:tcBorders>
                    <w:top w:val="single" w:color="000000" w:sz="6" w:space="0"/>
                    <w:left w:val="single" w:color="000000" w:sz="8" w:space="0"/>
                    <w:bottom w:val="single" w:color="000000" w:sz="8"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有组织排放总计</w:t>
                  </w: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0.96</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continue"/>
                  <w:tcBorders>
                    <w:top w:val="single" w:color="000000" w:sz="6" w:space="0"/>
                    <w:left w:val="single" w:color="000000" w:sz="8" w:space="0"/>
                    <w:bottom w:val="single" w:color="000000" w:sz="8" w:space="0"/>
                    <w:right w:val="single" w:color="000000" w:sz="6" w:space="0"/>
                  </w:tcBorders>
                  <w:vAlign w:val="center"/>
                </w:tcPr>
                <w:p>
                  <w:pPr>
                    <w:widowControl/>
                    <w:jc w:val="left"/>
                    <w:rPr>
                      <w:color w:val="000000" w:themeColor="text1"/>
                      <w:szCs w:val="21"/>
                      <w14:textFill>
                        <w14:solidFill>
                          <w14:schemeClr w14:val="tx1"/>
                        </w14:solidFill>
                      </w14:textFill>
                    </w:rPr>
                  </w:pP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bCs/>
                      <w:color w:val="000000" w:themeColor="text1"/>
                      <w:szCs w:val="21"/>
                      <w14:textFill>
                        <w14:solidFill>
                          <w14:schemeClr w14:val="tx1"/>
                        </w14:solidFill>
                      </w14:textFill>
                    </w:rPr>
                    <w:t>SO</w:t>
                  </w:r>
                  <w:r>
                    <w:rPr>
                      <w:bCs/>
                      <w:color w:val="000000" w:themeColor="text1"/>
                      <w:szCs w:val="21"/>
                      <w:vertAlign w:val="subscript"/>
                      <w14:textFill>
                        <w14:solidFill>
                          <w14:schemeClr w14:val="tx1"/>
                        </w14:solidFill>
                      </w14:textFill>
                    </w:rPr>
                    <w:t>2</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continue"/>
                  <w:tcBorders>
                    <w:top w:val="single" w:color="000000" w:sz="6" w:space="0"/>
                    <w:left w:val="single" w:color="000000" w:sz="8" w:space="0"/>
                    <w:bottom w:val="single" w:color="000000" w:sz="8" w:space="0"/>
                    <w:right w:val="single" w:color="000000" w:sz="6" w:space="0"/>
                  </w:tcBorders>
                  <w:vAlign w:val="center"/>
                </w:tcPr>
                <w:p>
                  <w:pPr>
                    <w:widowControl/>
                    <w:jc w:val="left"/>
                    <w:rPr>
                      <w:color w:val="000000" w:themeColor="text1"/>
                      <w:szCs w:val="21"/>
                      <w14:textFill>
                        <w14:solidFill>
                          <w14:schemeClr w14:val="tx1"/>
                        </w14:solidFill>
                      </w14:textFill>
                    </w:rPr>
                  </w:pP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NOx</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bl>
          <w:p>
            <w:pPr>
              <w:pStyle w:val="2"/>
              <w:spacing w:line="480" w:lineRule="exact"/>
              <w:ind w:firstLine="480" w:firstLineChars="200"/>
              <w:jc w:val="both"/>
              <w:rPr>
                <w:rFonts w:ascii="Times New Roman"/>
                <w:color w:val="000000" w:themeColor="text1"/>
                <w14:textFill>
                  <w14:solidFill>
                    <w14:schemeClr w14:val="tx1"/>
                  </w14:solidFill>
                </w14:textFill>
              </w:rPr>
            </w:pPr>
            <w:r>
              <w:rPr>
                <w:rFonts w:ascii="Times New Roman"/>
                <w:bCs/>
                <w:color w:val="000000" w:themeColor="text1"/>
                <w14:textFill>
                  <w14:solidFill>
                    <w14:schemeClr w14:val="tx1"/>
                  </w14:solidFill>
                </w14:textFill>
              </w:rPr>
              <w:t>（</w:t>
            </w:r>
            <w:r>
              <w:rPr>
                <w:rFonts w:hint="eastAsia" w:ascii="Times New Roman"/>
                <w:bCs/>
                <w:color w:val="000000" w:themeColor="text1"/>
                <w14:textFill>
                  <w14:solidFill>
                    <w14:schemeClr w14:val="tx1"/>
                  </w14:solidFill>
                </w14:textFill>
              </w:rPr>
              <w:t>4</w:t>
            </w:r>
            <w:r>
              <w:rPr>
                <w:rFonts w:ascii="Times New Roman"/>
                <w:bCs/>
                <w:color w:val="000000" w:themeColor="text1"/>
                <w14:textFill>
                  <w14:solidFill>
                    <w14:schemeClr w14:val="tx1"/>
                  </w14:solidFill>
                </w14:textFill>
              </w:rPr>
              <w:t>）大气环境影响评价结论与建议</w:t>
            </w:r>
          </w:p>
          <w:p>
            <w:pPr>
              <w:pStyle w:val="7"/>
              <w:numPr>
                <w:ilvl w:val="3"/>
                <w:numId w:val="0"/>
              </w:numPr>
              <w:tabs>
                <w:tab w:val="left" w:pos="0"/>
              </w:tabs>
              <w:spacing w:beforeLines="0"/>
              <w:ind w:firstLine="480" w:firstLineChars="200"/>
              <w:rPr>
                <w:rFonts w:eastAsia="宋体"/>
                <w:bCs w:val="0"/>
                <w:color w:val="000000" w:themeColor="text1"/>
                <w:kern w:val="2"/>
                <w:sz w:val="24"/>
                <w:szCs w:val="24"/>
                <w14:textFill>
                  <w14:solidFill>
                    <w14:schemeClr w14:val="tx1"/>
                  </w14:solidFill>
                </w14:textFill>
              </w:rPr>
            </w:pPr>
            <w:r>
              <w:rPr>
                <w:rFonts w:eastAsia="宋体"/>
                <w:bCs w:val="0"/>
                <w:color w:val="000000" w:themeColor="text1"/>
                <w:kern w:val="2"/>
                <w:sz w:val="24"/>
                <w:szCs w:val="24"/>
                <w14:textFill>
                  <w14:solidFill>
                    <w14:schemeClr w14:val="tx1"/>
                  </w14:solidFill>
                </w14:textFill>
              </w:rPr>
              <w:t>a 大气环境影响评价结论</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本项目位于环境质量达标区，评价范围</w:t>
            </w:r>
            <w:r>
              <w:rPr>
                <w:rFonts w:hint="eastAsia"/>
                <w:color w:val="000000" w:themeColor="text1"/>
                <w:sz w:val="24"/>
                <w14:textFill>
                  <w14:solidFill>
                    <w14:schemeClr w14:val="tx1"/>
                  </w14:solidFill>
                </w14:textFill>
              </w:rPr>
              <w:t>为二</w:t>
            </w:r>
            <w:r>
              <w:rPr>
                <w:color w:val="000000" w:themeColor="text1"/>
                <w:sz w:val="24"/>
                <w14:textFill>
                  <w14:solidFill>
                    <w14:schemeClr w14:val="tx1"/>
                  </w14:solidFill>
                </w14:textFill>
              </w:rPr>
              <w:t>类区。新增污染源正常排放下PM</w:t>
            </w:r>
            <w:r>
              <w:rPr>
                <w:color w:val="000000" w:themeColor="text1"/>
                <w:sz w:val="24"/>
                <w:vertAlign w:val="subscript"/>
                <w14:textFill>
                  <w14:solidFill>
                    <w14:schemeClr w14:val="tx1"/>
                  </w14:solidFill>
                </w14:textFill>
              </w:rPr>
              <w:t>10</w:t>
            </w:r>
            <w:r>
              <w:rPr>
                <w:rFonts w:hint="eastAsia"/>
                <w:color w:val="000000" w:themeColor="text1"/>
                <w:sz w:val="24"/>
                <w14:textFill>
                  <w14:solidFill>
                    <w14:schemeClr w14:val="tx1"/>
                  </w14:solidFill>
                </w14:textFill>
              </w:rPr>
              <w:t>、TSP</w:t>
            </w:r>
            <w:r>
              <w:rPr>
                <w:color w:val="000000" w:themeColor="text1"/>
                <w:sz w:val="24"/>
                <w14:textFill>
                  <w14:solidFill>
                    <w14:schemeClr w14:val="tx1"/>
                  </w14:solidFill>
                </w14:textFill>
              </w:rPr>
              <w:t>短期浓度贡献值的最大浓度占标率均小于10%。因此，本项目建成后，大气环境影响可接受，项目大气污染物排放方案可行。</w:t>
            </w:r>
          </w:p>
          <w:p>
            <w:pPr>
              <w:pStyle w:val="7"/>
              <w:numPr>
                <w:ilvl w:val="3"/>
                <w:numId w:val="0"/>
              </w:numPr>
              <w:tabs>
                <w:tab w:val="left" w:pos="0"/>
              </w:tabs>
              <w:spacing w:beforeLines="0"/>
              <w:ind w:firstLine="480" w:firstLineChars="200"/>
              <w:rPr>
                <w:rFonts w:eastAsia="宋体"/>
                <w:bCs w:val="0"/>
                <w:color w:val="000000" w:themeColor="text1"/>
                <w:kern w:val="2"/>
                <w:sz w:val="24"/>
                <w:szCs w:val="24"/>
                <w14:textFill>
                  <w14:solidFill>
                    <w14:schemeClr w14:val="tx1"/>
                  </w14:solidFill>
                </w14:textFill>
              </w:rPr>
            </w:pPr>
            <w:r>
              <w:rPr>
                <w:rFonts w:eastAsia="宋体"/>
                <w:bCs w:val="0"/>
                <w:color w:val="000000" w:themeColor="text1"/>
                <w:kern w:val="2"/>
                <w:sz w:val="24"/>
                <w:szCs w:val="24"/>
                <w14:textFill>
                  <w14:solidFill>
                    <w14:schemeClr w14:val="tx1"/>
                  </w14:solidFill>
                </w14:textFill>
              </w:rPr>
              <w:t>b 大气污染控制措施</w:t>
            </w:r>
          </w:p>
          <w:p>
            <w:pPr>
              <w:spacing w:line="480" w:lineRule="exact"/>
              <w:ind w:firstLine="480" w:firstLineChars="200"/>
              <w:rPr>
                <w:bCs/>
                <w:iCs/>
                <w:color w:val="000000" w:themeColor="text1"/>
                <w:sz w:val="24"/>
                <w14:textFill>
                  <w14:solidFill>
                    <w14:schemeClr w14:val="tx1"/>
                  </w14:solidFill>
                </w14:textFill>
              </w:rPr>
            </w:pPr>
            <w:r>
              <w:rPr>
                <w:color w:val="000000" w:themeColor="text1"/>
                <w:sz w:val="24"/>
                <w14:textFill>
                  <w14:solidFill>
                    <w14:schemeClr w14:val="tx1"/>
                  </w14:solidFill>
                </w14:textFill>
              </w:rPr>
              <w:t>破碎工序全部</w:t>
            </w:r>
            <w:r>
              <w:rPr>
                <w:color w:val="000000" w:themeColor="text1"/>
                <w:spacing w:val="4"/>
                <w:sz w:val="24"/>
                <w14:textFill>
                  <w14:solidFill>
                    <w14:schemeClr w14:val="tx1"/>
                  </w14:solidFill>
                </w14:textFill>
              </w:rPr>
              <w:t>设在全封闭的生产车间内，</w:t>
            </w:r>
            <w:r>
              <w:rPr>
                <w:rFonts w:hint="eastAsia"/>
                <w:color w:val="000000" w:themeColor="text1"/>
                <w:spacing w:val="4"/>
                <w:sz w:val="24"/>
                <w14:textFill>
                  <w14:solidFill>
                    <w14:schemeClr w14:val="tx1"/>
                  </w14:solidFill>
                </w14:textFill>
              </w:rPr>
              <w:t>在破碎机进出口设置集气罩，通过集气罩</w:t>
            </w:r>
            <w:r>
              <w:rPr>
                <w:color w:val="000000" w:themeColor="text1"/>
                <w:sz w:val="24"/>
                <w14:textFill>
                  <w14:solidFill>
                    <w14:schemeClr w14:val="tx1"/>
                  </w14:solidFill>
                </w14:textFill>
              </w:rPr>
              <w:t>+1台高效布袋除尘器，经处理后由1根15m高</w:t>
            </w:r>
            <w:r>
              <w:rPr>
                <w:rFonts w:hint="eastAsia"/>
                <w:color w:val="000000" w:themeColor="text1"/>
                <w:sz w:val="24"/>
                <w14:textFill>
                  <w14:solidFill>
                    <w14:schemeClr w14:val="tx1"/>
                  </w14:solidFill>
                </w14:textFill>
              </w:rPr>
              <w:t>排气筒</w:t>
            </w:r>
            <w:r>
              <w:rPr>
                <w:color w:val="000000" w:themeColor="text1"/>
                <w:sz w:val="24"/>
                <w14:textFill>
                  <w14:solidFill>
                    <w14:schemeClr w14:val="tx1"/>
                  </w14:solidFill>
                </w14:textFill>
              </w:rPr>
              <w:t>排放，除尘器除尘效率为99%</w:t>
            </w:r>
            <w:r>
              <w:rPr>
                <w:rFonts w:hint="eastAsia"/>
                <w:bCs/>
                <w:iCs/>
                <w:color w:val="000000" w:themeColor="text1"/>
                <w:sz w:val="24"/>
                <w14:textFill>
                  <w14:solidFill>
                    <w14:schemeClr w14:val="tx1"/>
                  </w14:solidFill>
                </w14:textFill>
              </w:rPr>
              <w:t>。原料堆场采用全封闭堆场。</w:t>
            </w:r>
          </w:p>
          <w:p>
            <w:pPr>
              <w:autoSpaceDE w:val="0"/>
              <w:autoSpaceDN w:val="0"/>
              <w:adjustRightInd w:val="0"/>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经预测可知，本项目在正常工况下大气污染物最大落地浓度的占标率均小于10%。因此，本项目采用的污染控制措施合理。</w:t>
            </w:r>
          </w:p>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c</w:t>
            </w:r>
            <w:r>
              <w:rPr>
                <w:rFonts w:hint="eastAsia"/>
                <w:bCs/>
                <w:color w:val="000000" w:themeColor="text1"/>
                <w:sz w:val="24"/>
                <w14:textFill>
                  <w14:solidFill>
                    <w14:schemeClr w14:val="tx1"/>
                  </w14:solidFill>
                </w14:textFill>
              </w:rPr>
              <w:t>污染物排放量核算结果</w:t>
            </w:r>
          </w:p>
          <w:p>
            <w:pPr>
              <w:spacing w:line="480" w:lineRule="exact"/>
              <w:ind w:firstLine="480" w:firstLineChars="200"/>
              <w:rPr>
                <w:rFonts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本项目涉及国家和地方实施控制的总量控制因子为粉尘，评价核算的总量控制指标为：粉尘：0.96</w:t>
            </w:r>
            <w:r>
              <w:rPr>
                <w:color w:val="000000" w:themeColor="text1"/>
                <w:sz w:val="24"/>
                <w14:textFill>
                  <w14:solidFill>
                    <w14:schemeClr w14:val="tx1"/>
                  </w14:solidFill>
                </w14:textFill>
              </w:rPr>
              <w:t>t/a</w:t>
            </w:r>
            <w:r>
              <w:rPr>
                <w:rFonts w:hint="eastAsia" w:hAnsi="宋体"/>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综上，本项目建成后，大气环境影响可接受，项目大气污染物排放方案可行。</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项目大气环境影响评价自查表见表7-10。</w:t>
            </w:r>
          </w:p>
          <w:p>
            <w:pPr>
              <w:spacing w:line="480" w:lineRule="atLeast"/>
              <w:jc w:val="center"/>
              <w:rPr>
                <w:rFonts w:ascii="宋体" w:hAnsi="宋体" w:cs="宋体"/>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表7-10 建设项目</w:t>
            </w:r>
            <w:r>
              <w:rPr>
                <w:rFonts w:hint="eastAsia" w:ascii="宋体" w:hAnsi="宋体" w:cs="宋体"/>
                <w:b/>
                <w:bCs/>
                <w:color w:val="000000" w:themeColor="text1"/>
                <w:sz w:val="24"/>
                <w14:textFill>
                  <w14:solidFill>
                    <w14:schemeClr w14:val="tx1"/>
                  </w14:solidFill>
                </w14:textFill>
              </w:rPr>
              <w:t>大气环境影响评价自查表</w:t>
            </w:r>
          </w:p>
          <w:tbl>
            <w:tblPr>
              <w:tblStyle w:val="3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0"/>
              <w:gridCol w:w="1584"/>
              <w:gridCol w:w="1143"/>
              <w:gridCol w:w="88"/>
              <w:gridCol w:w="737"/>
              <w:gridCol w:w="208"/>
              <w:gridCol w:w="119"/>
              <w:gridCol w:w="76"/>
              <w:gridCol w:w="509"/>
              <w:gridCol w:w="409"/>
              <w:gridCol w:w="316"/>
              <w:gridCol w:w="288"/>
              <w:gridCol w:w="335"/>
              <w:gridCol w:w="78"/>
              <w:gridCol w:w="983"/>
              <w:gridCol w:w="204"/>
              <w:gridCol w:w="160"/>
              <w:gridCol w:w="516"/>
              <w:gridCol w:w="5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405" w:type="pct"/>
                  <w:gridSpan w:val="2"/>
                  <w:tcBorders>
                    <w:top w:val="single" w:color="auto" w:sz="12" w:space="0"/>
                    <w:left w:val="single" w:color="auto" w:sz="12" w:space="0"/>
                    <w:bottom w:val="single" w:color="auto" w:sz="6" w:space="0"/>
                    <w:right w:val="single" w:color="auto" w:sz="6" w:space="0"/>
                  </w:tcBorders>
                  <w:vAlign w:val="center"/>
                </w:tcPr>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工作内容</w:t>
                  </w:r>
                </w:p>
              </w:tc>
              <w:tc>
                <w:tcPr>
                  <w:tcW w:w="3594" w:type="pct"/>
                  <w:gridSpan w:val="17"/>
                  <w:tcBorders>
                    <w:top w:val="single" w:color="auto" w:sz="12" w:space="0"/>
                    <w:left w:val="single" w:color="auto" w:sz="6" w:space="0"/>
                    <w:bottom w:val="single" w:color="auto" w:sz="6" w:space="0"/>
                    <w:right w:val="single" w:color="auto" w:sz="12" w:space="0"/>
                  </w:tcBorders>
                  <w:vAlign w:val="center"/>
                </w:tcPr>
                <w:p>
                  <w:pPr>
                    <w:ind w:firstLine="36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评价等级与范围</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评价等级</w:t>
                  </w:r>
                </w:p>
              </w:tc>
              <w:tc>
                <w:tcPr>
                  <w:tcW w:w="1178" w:type="pct"/>
                  <w:gridSpan w:val="4"/>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一级□</w:t>
                  </w:r>
                </w:p>
              </w:tc>
              <w:tc>
                <w:tcPr>
                  <w:tcW w:w="1645"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二级</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770" w:type="pct"/>
                  <w:gridSpan w:val="4"/>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评价范围</w:t>
                  </w:r>
                </w:p>
              </w:tc>
              <w:tc>
                <w:tcPr>
                  <w:tcW w:w="1178" w:type="pct"/>
                  <w:gridSpan w:val="4"/>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边长</w:t>
                  </w:r>
                  <w:r>
                    <w:rPr>
                      <w:rFonts w:hAnsi="宋体"/>
                      <w:color w:val="000000" w:themeColor="text1"/>
                      <w:sz w:val="18"/>
                      <w:szCs w:val="18"/>
                      <w14:textFill>
                        <w14:solidFill>
                          <w14:schemeClr w14:val="tx1"/>
                        </w14:solidFill>
                      </w14:textFill>
                    </w:rPr>
                    <w:t>=50km</w:t>
                  </w:r>
                  <w:r>
                    <w:rPr>
                      <w:rFonts w:hint="eastAsia" w:hAnsi="宋体"/>
                      <w:color w:val="000000" w:themeColor="text1"/>
                      <w:sz w:val="18"/>
                      <w:szCs w:val="18"/>
                      <w14:textFill>
                        <w14:solidFill>
                          <w14:schemeClr w14:val="tx1"/>
                        </w14:solidFill>
                      </w14:textFill>
                    </w:rPr>
                    <w:t>□</w:t>
                  </w:r>
                </w:p>
              </w:tc>
              <w:tc>
                <w:tcPr>
                  <w:tcW w:w="1645"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边长</w:t>
                  </w:r>
                  <w:r>
                    <w:rPr>
                      <w:rFonts w:hAnsi="宋体"/>
                      <w:color w:val="000000" w:themeColor="text1"/>
                      <w:sz w:val="18"/>
                      <w:szCs w:val="18"/>
                      <w14:textFill>
                        <w14:solidFill>
                          <w14:schemeClr w14:val="tx1"/>
                        </w14:solidFill>
                      </w14:textFill>
                    </w:rPr>
                    <w:t>5-50km</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770" w:type="pct"/>
                  <w:gridSpan w:val="4"/>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边长</w:t>
                  </w:r>
                  <w:r>
                    <w:rPr>
                      <w:rFonts w:hAnsi="宋体"/>
                      <w:color w:val="000000" w:themeColor="text1"/>
                      <w:sz w:val="18"/>
                      <w:szCs w:val="18"/>
                      <w14:textFill>
                        <w14:solidFill>
                          <w14:schemeClr w14:val="tx1"/>
                        </w14:solidFill>
                      </w14:textFill>
                    </w:rPr>
                    <w:t>=50km</w:t>
                  </w:r>
                  <w:r>
                    <w:rPr>
                      <w:rFonts w:hint="eastAsia"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评价因子</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SO2+NO2</w:t>
                  </w:r>
                  <w:r>
                    <w:rPr>
                      <w:rFonts w:hint="eastAsia" w:hAnsi="宋体"/>
                      <w:color w:val="000000" w:themeColor="text1"/>
                      <w:sz w:val="18"/>
                      <w:szCs w:val="18"/>
                      <w14:textFill>
                        <w14:solidFill>
                          <w14:schemeClr w14:val="tx1"/>
                        </w14:solidFill>
                      </w14:textFill>
                    </w:rPr>
                    <w:t>排放量</w:t>
                  </w:r>
                </w:p>
              </w:tc>
              <w:tc>
                <w:tcPr>
                  <w:tcW w:w="1178" w:type="pct"/>
                  <w:gridSpan w:val="4"/>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2000t/a</w:t>
                  </w:r>
                  <w:r>
                    <w:rPr>
                      <w:rFonts w:hint="eastAsia" w:hAnsi="宋体"/>
                      <w:color w:val="000000" w:themeColor="text1"/>
                      <w:sz w:val="18"/>
                      <w:szCs w:val="18"/>
                      <w14:textFill>
                        <w14:solidFill>
                          <w14:schemeClr w14:val="tx1"/>
                        </w14:solidFill>
                      </w14:textFill>
                    </w:rPr>
                    <w:t>□</w:t>
                  </w:r>
                </w:p>
              </w:tc>
              <w:tc>
                <w:tcPr>
                  <w:tcW w:w="1645"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500-2000t/a</w:t>
                  </w:r>
                  <w:r>
                    <w:rPr>
                      <w:rFonts w:hint="eastAsia" w:hAnsi="宋体"/>
                      <w:color w:val="000000" w:themeColor="text1"/>
                      <w:sz w:val="18"/>
                      <w:szCs w:val="18"/>
                      <w14:textFill>
                        <w14:solidFill>
                          <w14:schemeClr w14:val="tx1"/>
                        </w14:solidFill>
                      </w14:textFill>
                    </w:rPr>
                    <w:t>□</w:t>
                  </w:r>
                </w:p>
              </w:tc>
              <w:tc>
                <w:tcPr>
                  <w:tcW w:w="770" w:type="pct"/>
                  <w:gridSpan w:val="4"/>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500t/a</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评价因子</w:t>
                  </w:r>
                </w:p>
              </w:tc>
              <w:tc>
                <w:tcPr>
                  <w:tcW w:w="2101" w:type="pct"/>
                  <w:gridSpan w:val="10"/>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基本污染物（</w:t>
                  </w:r>
                  <w:r>
                    <w:rPr>
                      <w:rFonts w:hAnsi="宋体"/>
                      <w:color w:val="000000" w:themeColor="text1"/>
                      <w:sz w:val="18"/>
                      <w:szCs w:val="18"/>
                      <w14:textFill>
                        <w14:solidFill>
                          <w14:schemeClr w14:val="tx1"/>
                        </w14:solidFill>
                      </w14:textFill>
                    </w:rPr>
                    <w:t>PM</w:t>
                  </w:r>
                  <w:r>
                    <w:rPr>
                      <w:rFonts w:hAnsi="宋体"/>
                      <w:color w:val="000000" w:themeColor="text1"/>
                      <w:sz w:val="18"/>
                      <w:szCs w:val="18"/>
                      <w:vertAlign w:val="subscript"/>
                      <w14:textFill>
                        <w14:solidFill>
                          <w14:schemeClr w14:val="tx1"/>
                        </w14:solidFill>
                      </w14:textFill>
                    </w:rPr>
                    <w:t>10</w:t>
                  </w:r>
                  <w:r>
                    <w:rPr>
                      <w:rFonts w:hint="eastAsia" w:hAnsi="宋体"/>
                      <w:color w:val="000000" w:themeColor="text1"/>
                      <w:sz w:val="18"/>
                      <w:szCs w:val="18"/>
                      <w14:textFill>
                        <w14:solidFill>
                          <w14:schemeClr w14:val="tx1"/>
                        </w14:solidFill>
                      </w14:textFill>
                    </w:rPr>
                    <w:t>）</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其他污染物（）</w:t>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包括二次</w:t>
                  </w:r>
                  <w:r>
                    <w:rPr>
                      <w:rFonts w:hAnsi="宋体"/>
                      <w:color w:val="000000" w:themeColor="text1"/>
                      <w:sz w:val="18"/>
                      <w:szCs w:val="18"/>
                      <w14:textFill>
                        <w14:solidFill>
                          <w14:schemeClr w14:val="tx1"/>
                        </w14:solidFill>
                      </w14:textFill>
                    </w:rPr>
                    <w:t>PM2.5</w:t>
                  </w:r>
                  <w:r>
                    <w:rPr>
                      <w:rFonts w:hint="eastAsia" w:hAnsi="宋体"/>
                      <w:color w:val="000000" w:themeColor="text1"/>
                      <w:sz w:val="18"/>
                      <w:szCs w:val="18"/>
                      <w14:textFill>
                        <w14:solidFill>
                          <w14:schemeClr w14:val="tx1"/>
                        </w14:solidFill>
                      </w14:textFill>
                    </w:rPr>
                    <w:t>□</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不包括二次</w:t>
                  </w:r>
                  <w:r>
                    <w:rPr>
                      <w:rFonts w:hAnsi="宋体"/>
                      <w:color w:val="000000" w:themeColor="text1"/>
                      <w:sz w:val="18"/>
                      <w:szCs w:val="18"/>
                      <w14:textFill>
                        <w14:solidFill>
                          <w14:schemeClr w14:val="tx1"/>
                        </w14:solidFill>
                      </w14:textFill>
                    </w:rPr>
                    <w:t>PM2.5</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评价标准</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评价标准</w:t>
                  </w:r>
                </w:p>
              </w:tc>
              <w:tc>
                <w:tcPr>
                  <w:tcW w:w="1066"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国家标准</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710"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地方标准□</w:t>
                  </w:r>
                </w:p>
              </w:tc>
              <w:tc>
                <w:tcPr>
                  <w:tcW w:w="1150" w:type="pct"/>
                  <w:gridSpan w:val="6"/>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附录□</w:t>
                  </w:r>
                </w:p>
              </w:tc>
              <w:tc>
                <w:tcPr>
                  <w:tcW w:w="667" w:type="pct"/>
                  <w:gridSpan w:val="3"/>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其他标准□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现状评价</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环境功能区</w:t>
                  </w:r>
                </w:p>
              </w:tc>
              <w:tc>
                <w:tcPr>
                  <w:tcW w:w="1066"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一类区□</w:t>
                  </w:r>
                </w:p>
              </w:tc>
              <w:tc>
                <w:tcPr>
                  <w:tcW w:w="710"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二类区</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1817" w:type="pct"/>
                  <w:gridSpan w:val="9"/>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一类区和二类区□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评价基准年</w:t>
                  </w:r>
                </w:p>
              </w:tc>
              <w:tc>
                <w:tcPr>
                  <w:tcW w:w="3594" w:type="pct"/>
                  <w:gridSpan w:val="1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（2019）年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环境空气质量现状调查数据来源</w:t>
                  </w:r>
                </w:p>
              </w:tc>
              <w:tc>
                <w:tcPr>
                  <w:tcW w:w="1242"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长期例行监测数据</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1685"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主管部门发布的数据□</w:t>
                  </w:r>
                </w:p>
              </w:tc>
              <w:tc>
                <w:tcPr>
                  <w:tcW w:w="667" w:type="pct"/>
                  <w:gridSpan w:val="3"/>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现状补充监测□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现状评价</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达标区</w:t>
                  </w:r>
                  <w:r>
                    <w:rPr>
                      <w:rFonts w:hint="eastAsia" w:hAnsi="宋体"/>
                      <w:color w:val="000000" w:themeColor="text1"/>
                      <w:sz w:val="18"/>
                      <w:szCs w:val="18"/>
                      <w14:textFill>
                        <w14:solidFill>
                          <w14:schemeClr w14:val="tx1"/>
                        </w14:solidFill>
                      </w14:textFill>
                    </w:rPr>
                    <w:sym w:font="Wingdings 2" w:char="0052"/>
                  </w:r>
                </w:p>
              </w:tc>
              <w:tc>
                <w:tcPr>
                  <w:tcW w:w="1817" w:type="pct"/>
                  <w:gridSpan w:val="9"/>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不达标区</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污染源调查</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调查内容</w:t>
                  </w:r>
                </w:p>
              </w:tc>
              <w:tc>
                <w:tcPr>
                  <w:tcW w:w="1283" w:type="pct"/>
                  <w:gridSpan w:val="6"/>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本项目正常排放源</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本项目非正常排放源□</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现有污染源□</w:t>
                  </w:r>
                </w:p>
              </w:tc>
              <w:tc>
                <w:tcPr>
                  <w:tcW w:w="663"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拟替代的污染源□</w:t>
                  </w:r>
                </w:p>
              </w:tc>
              <w:tc>
                <w:tcPr>
                  <w:tcW w:w="980"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其他在建、拟建项目污染源□</w:t>
                  </w:r>
                </w:p>
              </w:tc>
              <w:tc>
                <w:tcPr>
                  <w:tcW w:w="667" w:type="pct"/>
                  <w:gridSpan w:val="3"/>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区域污染源□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大气环境</w:t>
                  </w:r>
                </w:p>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影响预测与评价</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预测模型</w:t>
                  </w:r>
                </w:p>
              </w:tc>
              <w:tc>
                <w:tcPr>
                  <w:tcW w:w="669" w:type="pct"/>
                  <w:gridSpan w:val="2"/>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AERMOD</w:t>
                  </w:r>
                  <w:r>
                    <w:rPr>
                      <w:rFonts w:hint="eastAsia" w:hAnsi="宋体"/>
                      <w:color w:val="000000" w:themeColor="text1"/>
                      <w:sz w:val="18"/>
                      <w:szCs w:val="18"/>
                      <w14:textFill>
                        <w14:solidFill>
                          <w14:schemeClr w14:val="tx1"/>
                        </w14:solidFill>
                      </w14:textFill>
                    </w:rPr>
                    <w:t>□</w:t>
                  </w:r>
                </w:p>
              </w:tc>
              <w:tc>
                <w:tcPr>
                  <w:tcW w:w="39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ADMS</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c>
                <w:tcPr>
                  <w:tcW w:w="490" w:type="pct"/>
                  <w:gridSpan w:val="4"/>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AUSTAL</w:t>
                  </w:r>
                </w:p>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2000</w:t>
                  </w:r>
                  <w:r>
                    <w:rPr>
                      <w:rFonts w:hint="eastAsia" w:hAnsi="宋体"/>
                      <w:color w:val="000000" w:themeColor="text1"/>
                      <w:sz w:val="18"/>
                      <w:szCs w:val="18"/>
                      <w14:textFill>
                        <w14:solidFill>
                          <w14:schemeClr w14:val="tx1"/>
                        </w14:solidFill>
                      </w14:textFill>
                    </w:rPr>
                    <w:t>□</w:t>
                  </w:r>
                </w:p>
              </w:tc>
              <w:tc>
                <w:tcPr>
                  <w:tcW w:w="767"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EDMS/AEDT</w:t>
                  </w:r>
                  <w:r>
                    <w:rPr>
                      <w:rFonts w:hint="eastAsia" w:hAnsi="宋体"/>
                      <w:color w:val="000000" w:themeColor="text1"/>
                      <w:sz w:val="18"/>
                      <w:szCs w:val="18"/>
                      <w14:textFill>
                        <w14:solidFill>
                          <w14:schemeClr w14:val="tx1"/>
                        </w14:solidFill>
                      </w14:textFill>
                    </w:rPr>
                    <w:t>□</w:t>
                  </w:r>
                </w:p>
              </w:tc>
              <w:tc>
                <w:tcPr>
                  <w:tcW w:w="603" w:type="pct"/>
                  <w:gridSpan w:val="2"/>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CALPUFF</w:t>
                  </w:r>
                  <w:r>
                    <w:rPr>
                      <w:rFonts w:hint="eastAsia" w:hAnsi="宋体"/>
                      <w:color w:val="000000" w:themeColor="text1"/>
                      <w:sz w:val="18"/>
                      <w:szCs w:val="18"/>
                      <w14:textFill>
                        <w14:solidFill>
                          <w14:schemeClr w14:val="tx1"/>
                        </w14:solidFill>
                      </w14:textFill>
                    </w:rPr>
                    <w:t>□</w:t>
                  </w:r>
                </w:p>
              </w:tc>
              <w:tc>
                <w:tcPr>
                  <w:tcW w:w="378" w:type="pct"/>
                  <w:gridSpan w:val="2"/>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网络模型</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c>
                <w:tcPr>
                  <w:tcW w:w="288" w:type="pct"/>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其他</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预测范围</w:t>
                  </w:r>
                </w:p>
              </w:tc>
              <w:tc>
                <w:tcPr>
                  <w:tcW w:w="1066"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边长≥</w:t>
                  </w:r>
                  <w:r>
                    <w:rPr>
                      <w:rFonts w:hAnsi="宋体"/>
                      <w:color w:val="000000" w:themeColor="text1"/>
                      <w:sz w:val="18"/>
                      <w:szCs w:val="18"/>
                      <w14:textFill>
                        <w14:solidFill>
                          <w14:schemeClr w14:val="tx1"/>
                        </w14:solidFill>
                      </w14:textFill>
                    </w:rPr>
                    <w:t>50km</w:t>
                  </w:r>
                  <w:r>
                    <w:rPr>
                      <w:rFonts w:hint="eastAsia" w:hAnsi="宋体"/>
                      <w:color w:val="000000" w:themeColor="text1"/>
                      <w:sz w:val="18"/>
                      <w:szCs w:val="18"/>
                      <w14:textFill>
                        <w14:solidFill>
                          <w14:schemeClr w14:val="tx1"/>
                        </w14:solidFill>
                      </w14:textFill>
                    </w:rPr>
                    <w:t>□</w:t>
                  </w:r>
                </w:p>
              </w:tc>
              <w:tc>
                <w:tcPr>
                  <w:tcW w:w="1257"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边长</w:t>
                  </w:r>
                  <w:r>
                    <w:rPr>
                      <w:rFonts w:hAnsi="宋体"/>
                      <w:color w:val="000000" w:themeColor="text1"/>
                      <w:sz w:val="18"/>
                      <w:szCs w:val="18"/>
                      <w14:textFill>
                        <w14:solidFill>
                          <w14:schemeClr w14:val="tx1"/>
                        </w14:solidFill>
                      </w14:textFill>
                    </w:rPr>
                    <w:t>5-50km</w:t>
                  </w:r>
                  <w:r>
                    <w:rPr>
                      <w:rFonts w:hint="eastAsia" w:hAnsi="宋体"/>
                      <w:color w:val="000000" w:themeColor="text1"/>
                      <w:sz w:val="18"/>
                      <w:szCs w:val="18"/>
                      <w14:textFill>
                        <w14:solidFill>
                          <w14:schemeClr w14:val="tx1"/>
                        </w14:solidFill>
                      </w14:textFill>
                    </w:rPr>
                    <w:t>□</w:t>
                  </w:r>
                </w:p>
              </w:tc>
              <w:tc>
                <w:tcPr>
                  <w:tcW w:w="1270" w:type="pct"/>
                  <w:gridSpan w:val="5"/>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边长</w:t>
                  </w:r>
                  <w:r>
                    <w:rPr>
                      <w:rFonts w:hAnsi="宋体"/>
                      <w:color w:val="000000" w:themeColor="text1"/>
                      <w:sz w:val="18"/>
                      <w:szCs w:val="18"/>
                      <w14:textFill>
                        <w14:solidFill>
                          <w14:schemeClr w14:val="tx1"/>
                        </w14:solidFill>
                      </w14:textFill>
                    </w:rPr>
                    <w:t>=5km</w:t>
                  </w:r>
                  <w:r>
                    <w:rPr>
                      <w:rFonts w:hint="eastAsia"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预测因子</w:t>
                  </w:r>
                </w:p>
              </w:tc>
              <w:tc>
                <w:tcPr>
                  <w:tcW w:w="2101" w:type="pct"/>
                  <w:gridSpan w:val="10"/>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预测因子</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w:t>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包括二次</w:t>
                  </w:r>
                  <w:r>
                    <w:rPr>
                      <w:rFonts w:hAnsi="宋体"/>
                      <w:color w:val="000000" w:themeColor="text1"/>
                      <w:sz w:val="18"/>
                      <w:szCs w:val="18"/>
                      <w14:textFill>
                        <w14:solidFill>
                          <w14:schemeClr w14:val="tx1"/>
                        </w14:solidFill>
                      </w14:textFill>
                    </w:rPr>
                    <w:t>PM2.5</w:t>
                  </w:r>
                  <w:r>
                    <w:rPr>
                      <w:rFonts w:hint="eastAsia" w:hAnsi="宋体"/>
                      <w:color w:val="000000" w:themeColor="text1"/>
                      <w:sz w:val="18"/>
                      <w:szCs w:val="18"/>
                      <w14:textFill>
                        <w14:solidFill>
                          <w14:schemeClr w14:val="tx1"/>
                        </w14:solidFill>
                      </w14:textFill>
                    </w:rPr>
                    <w:t>□</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不包括二次</w:t>
                  </w:r>
                  <w:r>
                    <w:rPr>
                      <w:rFonts w:hAnsi="宋体"/>
                      <w:color w:val="000000" w:themeColor="text1"/>
                      <w:sz w:val="18"/>
                      <w:szCs w:val="18"/>
                      <w14:textFill>
                        <w14:solidFill>
                          <w14:schemeClr w14:val="tx1"/>
                        </w14:solidFill>
                      </w14:textFill>
                    </w:rPr>
                    <w:t>PM2.5</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正常排放短期浓度贡献值</w:t>
                  </w:r>
                </w:p>
              </w:tc>
              <w:tc>
                <w:tcPr>
                  <w:tcW w:w="2101" w:type="pct"/>
                  <w:gridSpan w:val="10"/>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本项目最大占标率≤</w:t>
                  </w:r>
                  <w:r>
                    <w:rPr>
                      <w:rFonts w:hAnsi="宋体"/>
                      <w:color w:val="000000" w:themeColor="text1"/>
                      <w:sz w:val="18"/>
                      <w:szCs w:val="18"/>
                      <w14:textFill>
                        <w14:solidFill>
                          <w14:schemeClr w14:val="tx1"/>
                        </w14:solidFill>
                      </w14:textFill>
                    </w:rPr>
                    <w:t>100%</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本项目最大占标率＞</w:t>
                  </w:r>
                  <w:r>
                    <w:rPr>
                      <w:rFonts w:hAnsi="宋体"/>
                      <w:color w:val="000000" w:themeColor="text1"/>
                      <w:sz w:val="18"/>
                      <w:szCs w:val="18"/>
                      <w14:textFill>
                        <w14:solidFill>
                          <w14:schemeClr w14:val="tx1"/>
                        </w14:solidFill>
                      </w14:textFill>
                    </w:rPr>
                    <w:t>100%</w:t>
                  </w:r>
                  <w:r>
                    <w:rPr>
                      <w:rFonts w:hint="eastAsia"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vMerge w:val="restar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正常排放</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年均浓度贡献值</w:t>
                  </w:r>
                </w:p>
              </w:tc>
              <w:tc>
                <w:tcPr>
                  <w:tcW w:w="619"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一类区</w:t>
                  </w:r>
                </w:p>
              </w:tc>
              <w:tc>
                <w:tcPr>
                  <w:tcW w:w="1482"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本项目最大占标率≤</w:t>
                  </w:r>
                  <w:r>
                    <w:rPr>
                      <w:rFonts w:hAnsi="宋体"/>
                      <w:color w:val="000000" w:themeColor="text1"/>
                      <w:sz w:val="18"/>
                      <w:szCs w:val="18"/>
                      <w14:textFill>
                        <w14:solidFill>
                          <w14:schemeClr w14:val="tx1"/>
                        </w14:solidFill>
                      </w14:textFill>
                    </w:rPr>
                    <w:t>10%</w:t>
                  </w:r>
                  <w:r>
                    <w:rPr>
                      <w:rFonts w:hint="eastAsia" w:hAnsi="宋体"/>
                      <w:color w:val="000000" w:themeColor="text1"/>
                      <w:sz w:val="18"/>
                      <w:szCs w:val="18"/>
                      <w14:textFill>
                        <w14:solidFill>
                          <w14:schemeClr w14:val="tx1"/>
                        </w14:solidFill>
                      </w14:textFill>
                    </w:rPr>
                    <w:t>□</w:t>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本项目最大占标率＞</w:t>
                  </w:r>
                  <w:r>
                    <w:rPr>
                      <w:rFonts w:hAnsi="宋体"/>
                      <w:color w:val="000000" w:themeColor="text1"/>
                      <w:sz w:val="18"/>
                      <w:szCs w:val="18"/>
                      <w14:textFill>
                        <w14:solidFill>
                          <w14:schemeClr w14:val="tx1"/>
                        </w14:solidFill>
                      </w14:textFill>
                    </w:rPr>
                    <w:t>10%</w:t>
                  </w:r>
                  <w:r>
                    <w:rPr>
                      <w:rFonts w:hint="eastAsia"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158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Ansi="宋体"/>
                      <w:color w:val="000000" w:themeColor="text1"/>
                      <w:sz w:val="18"/>
                      <w:szCs w:val="18"/>
                      <w14:textFill>
                        <w14:solidFill>
                          <w14:schemeClr w14:val="tx1"/>
                        </w14:solidFill>
                      </w14:textFill>
                    </w:rPr>
                  </w:pPr>
                </w:p>
              </w:tc>
              <w:tc>
                <w:tcPr>
                  <w:tcW w:w="619"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二类区</w:t>
                  </w:r>
                </w:p>
              </w:tc>
              <w:tc>
                <w:tcPr>
                  <w:tcW w:w="1482" w:type="pct"/>
                  <w:gridSpan w:val="9"/>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本项目最大占标率≤</w:t>
                  </w:r>
                  <w:r>
                    <w:rPr>
                      <w:rFonts w:hAnsi="宋体"/>
                      <w:color w:val="000000" w:themeColor="text1"/>
                      <w:sz w:val="18"/>
                      <w:szCs w:val="18"/>
                      <w14:textFill>
                        <w14:solidFill>
                          <w14:schemeClr w14:val="tx1"/>
                        </w14:solidFill>
                      </w14:textFill>
                    </w:rPr>
                    <w:t>30%</w:t>
                  </w:r>
                  <w:r>
                    <w:rPr>
                      <w:rFonts w:hint="eastAsia" w:hAnsi="宋体"/>
                      <w:color w:val="000000" w:themeColor="text1"/>
                      <w:sz w:val="18"/>
                      <w:szCs w:val="18"/>
                      <w14:textFill>
                        <w14:solidFill>
                          <w14:schemeClr w14:val="tx1"/>
                        </w14:solidFill>
                      </w14:textFill>
                    </w:rPr>
                    <w:t>□</w:t>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ind w:firstLine="22"/>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本项目最大占标率＞</w:t>
                  </w:r>
                  <w:r>
                    <w:rPr>
                      <w:rFonts w:hAnsi="宋体"/>
                      <w:color w:val="000000" w:themeColor="text1"/>
                      <w:sz w:val="18"/>
                      <w:szCs w:val="18"/>
                      <w14:textFill>
                        <w14:solidFill>
                          <w14:schemeClr w14:val="tx1"/>
                        </w14:solidFill>
                      </w14:textFill>
                    </w:rPr>
                    <w:t>30%</w:t>
                  </w:r>
                  <w:r>
                    <w:rPr>
                      <w:rFonts w:hint="eastAsia"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非正常排放</w:t>
                  </w:r>
                  <w:r>
                    <w:rPr>
                      <w:rFonts w:hAnsi="宋体"/>
                      <w:color w:val="000000" w:themeColor="text1"/>
                      <w:sz w:val="18"/>
                      <w:szCs w:val="18"/>
                      <w14:textFill>
                        <w14:solidFill>
                          <w14:schemeClr w14:val="tx1"/>
                        </w14:solidFill>
                      </w14:textFill>
                    </w:rPr>
                    <w:t>1h</w:t>
                  </w:r>
                  <w:r>
                    <w:rPr>
                      <w:rFonts w:hint="eastAsia" w:hAnsi="宋体"/>
                      <w:color w:val="000000" w:themeColor="text1"/>
                      <w:sz w:val="18"/>
                      <w:szCs w:val="18"/>
                      <w14:textFill>
                        <w14:solidFill>
                          <w14:schemeClr w14:val="tx1"/>
                        </w14:solidFill>
                      </w14:textFill>
                    </w:rPr>
                    <w:t>浓度贡献值</w:t>
                  </w:r>
                </w:p>
              </w:tc>
              <w:tc>
                <w:tcPr>
                  <w:tcW w:w="1066"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非正常持续时长</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h</w:t>
                  </w:r>
                </w:p>
              </w:tc>
              <w:tc>
                <w:tcPr>
                  <w:tcW w:w="1215"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非正常占标率≤</w:t>
                  </w:r>
                  <w:r>
                    <w:rPr>
                      <w:rFonts w:hAnsi="宋体"/>
                      <w:color w:val="000000" w:themeColor="text1"/>
                      <w:sz w:val="18"/>
                      <w:szCs w:val="18"/>
                      <w14:textFill>
                        <w14:solidFill>
                          <w14:schemeClr w14:val="tx1"/>
                        </w14:solidFill>
                      </w14:textFill>
                    </w:rPr>
                    <w:t>100%</w:t>
                  </w:r>
                  <w:r>
                    <w:rPr>
                      <w:rFonts w:hint="eastAsia" w:hAnsi="宋体"/>
                      <w:color w:val="000000" w:themeColor="text1"/>
                      <w:sz w:val="18"/>
                      <w:szCs w:val="18"/>
                      <w14:textFill>
                        <w14:solidFill>
                          <w14:schemeClr w14:val="tx1"/>
                        </w14:solidFill>
                      </w14:textFill>
                    </w:rPr>
                    <w:t>□</w:t>
                  </w:r>
                </w:p>
              </w:tc>
              <w:tc>
                <w:tcPr>
                  <w:tcW w:w="1312" w:type="pct"/>
                  <w:gridSpan w:val="6"/>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非正常占标率大于</w:t>
                  </w:r>
                  <w:r>
                    <w:rPr>
                      <w:rFonts w:hAnsi="宋体"/>
                      <w:color w:val="000000" w:themeColor="text1"/>
                      <w:sz w:val="18"/>
                      <w:szCs w:val="18"/>
                      <w14:textFill>
                        <w14:solidFill>
                          <w14:schemeClr w14:val="tx1"/>
                        </w14:solidFill>
                      </w14:textFill>
                    </w:rPr>
                    <w:t>100%</w:t>
                  </w:r>
                  <w:r>
                    <w:rPr>
                      <w:rFonts w:hint="eastAsia"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保证率日平均浓度和年平均浓度叠加值</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叠加达标□</w:t>
                  </w:r>
                </w:p>
              </w:tc>
              <w:tc>
                <w:tcPr>
                  <w:tcW w:w="1817" w:type="pct"/>
                  <w:gridSpan w:val="9"/>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C</w:t>
                  </w:r>
                  <w:r>
                    <w:rPr>
                      <w:rFonts w:hint="eastAsia" w:hAnsi="宋体"/>
                      <w:color w:val="000000" w:themeColor="text1"/>
                      <w:sz w:val="18"/>
                      <w:szCs w:val="18"/>
                      <w14:textFill>
                        <w14:solidFill>
                          <w14:schemeClr w14:val="tx1"/>
                        </w14:solidFill>
                      </w14:textFill>
                    </w:rPr>
                    <w:t>叠加不达标□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区域环境质量的整体变化情况</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K</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-20%</w:t>
                  </w:r>
                  <w:r>
                    <w:rPr>
                      <w:rFonts w:hint="eastAsia" w:hAnsi="宋体"/>
                      <w:color w:val="000000" w:themeColor="text1"/>
                      <w:sz w:val="18"/>
                      <w:szCs w:val="18"/>
                      <w14:textFill>
                        <w14:solidFill>
                          <w14:schemeClr w14:val="tx1"/>
                        </w14:solidFill>
                      </w14:textFill>
                    </w:rPr>
                    <w:t>□</w:t>
                  </w:r>
                </w:p>
              </w:tc>
              <w:tc>
                <w:tcPr>
                  <w:tcW w:w="1817" w:type="pct"/>
                  <w:gridSpan w:val="9"/>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K</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-20%</w:t>
                  </w:r>
                  <w:r>
                    <w:rPr>
                      <w:rFonts w:hint="eastAsia"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环境监测</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计划</w:t>
                  </w: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污染源监测</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监测因子：</w:t>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PM</w:t>
                  </w:r>
                  <w:r>
                    <w:rPr>
                      <w:rFonts w:hAnsi="宋体"/>
                      <w:color w:val="000000" w:themeColor="text1"/>
                      <w:sz w:val="18"/>
                      <w:szCs w:val="18"/>
                      <w:vertAlign w:val="subscript"/>
                      <w14:textFill>
                        <w14:solidFill>
                          <w14:schemeClr w14:val="tx1"/>
                        </w14:solidFill>
                      </w14:textFill>
                    </w:rPr>
                    <w:t>10</w:t>
                  </w:r>
                  <w:r>
                    <w:rPr>
                      <w:rFonts w:hint="eastAsia" w:hAnsi="宋体"/>
                      <w:color w:val="000000" w:themeColor="text1"/>
                      <w:sz w:val="18"/>
                      <w:szCs w:val="18"/>
                      <w14:textFill>
                        <w14:solidFill>
                          <w14:schemeClr w14:val="tx1"/>
                        </w14:solidFill>
                      </w14:textFill>
                    </w:rPr>
                    <w:t>、TSP）</w:t>
                  </w:r>
                </w:p>
              </w:tc>
              <w:tc>
                <w:tcPr>
                  <w:tcW w:w="1247" w:type="pct"/>
                  <w:gridSpan w:val="7"/>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有组织废气监测</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无组织废气监测</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570" w:type="pct"/>
                  <w:gridSpan w:val="2"/>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Ansi="宋体"/>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环境质量监测</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监测因子：（）</w:t>
                  </w:r>
                </w:p>
              </w:tc>
              <w:tc>
                <w:tcPr>
                  <w:tcW w:w="1247" w:type="pct"/>
                  <w:gridSpan w:val="7"/>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监测点位数（）</w:t>
                  </w:r>
                </w:p>
              </w:tc>
              <w:tc>
                <w:tcPr>
                  <w:tcW w:w="570" w:type="pct"/>
                  <w:gridSpan w:val="2"/>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评价结论</w:t>
                  </w: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环境影响</w:t>
                  </w:r>
                </w:p>
              </w:tc>
              <w:tc>
                <w:tcPr>
                  <w:tcW w:w="3594" w:type="pct"/>
                  <w:gridSpan w:val="1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可以接收</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不可以接受□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Ansi="宋体"/>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大气环境防护距离</w:t>
                  </w:r>
                </w:p>
              </w:tc>
              <w:tc>
                <w:tcPr>
                  <w:tcW w:w="3594" w:type="pct"/>
                  <w:gridSpan w:val="1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距（</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）厂界最远（</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Ansi="宋体"/>
                      <w:color w:val="000000" w:themeColor="text1"/>
                      <w:sz w:val="18"/>
                      <w:szCs w:val="18"/>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污染源年排放量</w:t>
                  </w:r>
                </w:p>
              </w:tc>
              <w:tc>
                <w:tcPr>
                  <w:tcW w:w="3594" w:type="pct"/>
                  <w:gridSpan w:val="1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颗粒物：（0.96）</w:t>
                  </w:r>
                  <w:r>
                    <w:rPr>
                      <w:rFonts w:hAnsi="宋体"/>
                      <w:color w:val="000000" w:themeColor="text1"/>
                      <w:sz w:val="18"/>
                      <w:szCs w:val="18"/>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000" w:type="pct"/>
                  <w:gridSpan w:val="19"/>
                  <w:tcBorders>
                    <w:top w:val="single" w:color="auto" w:sz="6" w:space="0"/>
                    <w:left w:val="single" w:color="auto" w:sz="12" w:space="0"/>
                    <w:bottom w:val="single" w:color="auto" w:sz="12" w:space="0"/>
                    <w:right w:val="single" w:color="auto" w:sz="12"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注：“□”为勾选项，填“√”；“（</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）”为内容填写项</w:t>
                  </w:r>
                </w:p>
              </w:tc>
            </w:tr>
          </w:tbl>
          <w:p>
            <w:pPr>
              <w:tabs>
                <w:tab w:val="left" w:pos="5190"/>
              </w:tabs>
              <w:spacing w:before="25" w:line="480" w:lineRule="exact"/>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2、水环境影响分析</w:t>
            </w:r>
            <w:r>
              <w:rPr>
                <w:b/>
                <w:color w:val="000000" w:themeColor="text1"/>
                <w:sz w:val="24"/>
                <w14:textFill>
                  <w14:solidFill>
                    <w14:schemeClr w14:val="tx1"/>
                  </w14:solidFill>
                </w14:textFill>
              </w:rPr>
              <w:tab/>
            </w:r>
          </w:p>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2.1</w:t>
            </w:r>
            <w:r>
              <w:rPr>
                <w:rFonts w:hint="eastAsia"/>
                <w:bCs/>
                <w:color w:val="000000" w:themeColor="text1"/>
                <w:sz w:val="24"/>
                <w14:textFill>
                  <w14:solidFill>
                    <w14:schemeClr w14:val="tx1"/>
                  </w14:solidFill>
                </w14:textFill>
              </w:rPr>
              <w:t>地表水环境评价等级</w:t>
            </w:r>
          </w:p>
          <w:p>
            <w:pPr>
              <w:snapToGrid w:val="0"/>
              <w:spacing w:line="480" w:lineRule="exac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根据《环境影响评价技术导则</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地表水环境》（</w:t>
            </w:r>
            <w:r>
              <w:rPr>
                <w:bCs/>
                <w:color w:val="000000" w:themeColor="text1"/>
                <w:sz w:val="24"/>
                <w14:textFill>
                  <w14:solidFill>
                    <w14:schemeClr w14:val="tx1"/>
                  </w14:solidFill>
                </w14:textFill>
              </w:rPr>
              <w:t>HJ2.3-2018</w:t>
            </w:r>
            <w:r>
              <w:rPr>
                <w:rFonts w:hint="eastAsia"/>
                <w:bCs/>
                <w:color w:val="000000" w:themeColor="text1"/>
                <w:sz w:val="24"/>
                <w14:textFill>
                  <w14:solidFill>
                    <w14:schemeClr w14:val="tx1"/>
                  </w14:solidFill>
                </w14:textFill>
              </w:rPr>
              <w:t>），本项目生产工艺中有废水产生，洗车废水作为回水利用，不外排到外环境，本项目地表水评价等级为三级</w:t>
            </w:r>
            <w:r>
              <w:rPr>
                <w:bCs/>
                <w:color w:val="000000" w:themeColor="text1"/>
                <w:sz w:val="24"/>
                <w14:textFill>
                  <w14:solidFill>
                    <w14:schemeClr w14:val="tx1"/>
                  </w14:solidFill>
                </w14:textFill>
              </w:rPr>
              <w:t>B</w:t>
            </w:r>
            <w:r>
              <w:rPr>
                <w:rFonts w:hint="eastAsia"/>
                <w:bCs/>
                <w:color w:val="000000" w:themeColor="text1"/>
                <w:sz w:val="24"/>
                <w14:textFill>
                  <w14:solidFill>
                    <w14:schemeClr w14:val="tx1"/>
                  </w14:solidFill>
                </w14:textFill>
              </w:rPr>
              <w:t>。</w:t>
            </w:r>
          </w:p>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2.2</w:t>
            </w:r>
            <w:r>
              <w:rPr>
                <w:rFonts w:hint="eastAsia"/>
                <w:bCs/>
                <w:color w:val="000000" w:themeColor="text1"/>
                <w:sz w:val="24"/>
                <w14:textFill>
                  <w14:solidFill>
                    <w14:schemeClr w14:val="tx1"/>
                  </w14:solidFill>
                </w14:textFill>
              </w:rPr>
              <w:t>废水排放源强及处理措施</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2.2.1</w:t>
            </w:r>
            <w:r>
              <w:rPr>
                <w:rFonts w:hint="eastAsia"/>
                <w:color w:val="000000" w:themeColor="text1"/>
                <w:sz w:val="24"/>
                <w14:textFill>
                  <w14:solidFill>
                    <w14:schemeClr w14:val="tx1"/>
                  </w14:solidFill>
                </w14:textFill>
              </w:rPr>
              <w:t>生活废水</w:t>
            </w:r>
          </w:p>
          <w:p>
            <w:pPr>
              <w:spacing w:line="480" w:lineRule="exact"/>
              <w:ind w:left="1" w:firstLine="425"/>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本项目职工人数12人，职工生活用水定额为6</w:t>
            </w:r>
            <w:r>
              <w:rPr>
                <w:color w:val="000000" w:themeColor="text1"/>
                <w:sz w:val="24"/>
                <w14:textFill>
                  <w14:solidFill>
                    <w14:schemeClr w14:val="tx1"/>
                  </w14:solidFill>
                </w14:textFill>
              </w:rPr>
              <w:t>0L/d</w:t>
            </w: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人，用量为0.72</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，年用水量216</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，生活污水产生量0.576</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，年产生量172.8</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。本次环评依据《建设项目环境影响评价》（环境保护部环境工程评估中心，中国环境科学出版社）提供的产污系数确定各污染物的产生浓度及产生量。生活污水具体见表</w:t>
            </w:r>
            <w:r>
              <w:rPr>
                <w:rFonts w:hint="eastAsia"/>
                <w:color w:val="000000" w:themeColor="text1"/>
                <w:sz w:val="24"/>
                <w:szCs w:val="21"/>
                <w14:textFill>
                  <w14:solidFill>
                    <w14:schemeClr w14:val="tx1"/>
                  </w14:solidFill>
                </w14:textFill>
              </w:rPr>
              <w:t>7-11</w:t>
            </w:r>
            <w:r>
              <w:rPr>
                <w:rFonts w:hint="eastAsia"/>
                <w:color w:val="000000" w:themeColor="text1"/>
                <w:sz w:val="24"/>
                <w14:textFill>
                  <w14:solidFill>
                    <w14:schemeClr w14:val="tx1"/>
                  </w14:solidFill>
                </w14:textFill>
              </w:rPr>
              <w:t>。</w:t>
            </w:r>
          </w:p>
          <w:p>
            <w:pPr>
              <w:spacing w:line="48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表7-11 生活污水中各污染物的产生浓度及产生量</w:t>
            </w:r>
          </w:p>
          <w:tbl>
            <w:tblPr>
              <w:tblStyle w:val="3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52"/>
              <w:gridCol w:w="1454"/>
              <w:gridCol w:w="1355"/>
              <w:gridCol w:w="1320"/>
              <w:gridCol w:w="1776"/>
              <w:gridCol w:w="1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1" w:type="pct"/>
                  <w:tcBorders>
                    <w:top w:val="single" w:color="auto" w:sz="12" w:space="0"/>
                    <w:left w:val="single" w:color="auto" w:sz="12"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污染源</w:t>
                  </w:r>
                </w:p>
              </w:tc>
              <w:tc>
                <w:tcPr>
                  <w:tcW w:w="782" w:type="pc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废水产生量（</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/d</w:t>
                  </w:r>
                  <w:r>
                    <w:rPr>
                      <w:rFonts w:hint="eastAsia"/>
                      <w:color w:val="000000" w:themeColor="text1"/>
                      <w:szCs w:val="21"/>
                      <w14:textFill>
                        <w14:solidFill>
                          <w14:schemeClr w14:val="tx1"/>
                        </w14:solidFill>
                      </w14:textFill>
                    </w:rPr>
                    <w:t>）</w:t>
                  </w:r>
                </w:p>
              </w:tc>
              <w:tc>
                <w:tcPr>
                  <w:tcW w:w="729" w:type="pc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排放时间</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d/a</w:t>
                  </w:r>
                  <w:r>
                    <w:rPr>
                      <w:rFonts w:hint="eastAsia"/>
                      <w:color w:val="000000" w:themeColor="text1"/>
                      <w:szCs w:val="21"/>
                      <w14:textFill>
                        <w14:solidFill>
                          <w14:schemeClr w14:val="tx1"/>
                        </w14:solidFill>
                      </w14:textFill>
                    </w:rPr>
                    <w:t>）</w:t>
                  </w:r>
                </w:p>
              </w:tc>
              <w:tc>
                <w:tcPr>
                  <w:tcW w:w="710" w:type="pc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w:t>
                  </w:r>
                </w:p>
              </w:tc>
              <w:tc>
                <w:tcPr>
                  <w:tcW w:w="955" w:type="pc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浓度值</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mg/L</w:t>
                  </w:r>
                  <w:r>
                    <w:rPr>
                      <w:rFonts w:hint="eastAsia"/>
                      <w:color w:val="000000" w:themeColor="text1"/>
                      <w:szCs w:val="21"/>
                      <w14:textFill>
                        <w14:solidFill>
                          <w14:schemeClr w14:val="tx1"/>
                        </w14:solidFill>
                      </w14:textFill>
                    </w:rPr>
                    <w:t>）</w:t>
                  </w:r>
                </w:p>
              </w:tc>
              <w:tc>
                <w:tcPr>
                  <w:tcW w:w="1042" w:type="pct"/>
                  <w:tcBorders>
                    <w:top w:val="single" w:color="auto" w:sz="12"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产生量</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t/a</w:t>
                  </w: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1" w:type="pct"/>
                  <w:vMerge w:val="restart"/>
                  <w:tcBorders>
                    <w:top w:val="single" w:color="auto" w:sz="6" w:space="0"/>
                    <w:left w:val="single" w:color="auto" w:sz="12"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日常办公</w:t>
                  </w:r>
                </w:p>
              </w:tc>
              <w:tc>
                <w:tcPr>
                  <w:tcW w:w="782" w:type="pct"/>
                  <w:vMerge w:val="restart"/>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576</w:t>
                  </w:r>
                </w:p>
              </w:tc>
              <w:tc>
                <w:tcPr>
                  <w:tcW w:w="729" w:type="pct"/>
                  <w:vMerge w:val="restart"/>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pH</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9</w:t>
                  </w:r>
                </w:p>
              </w:tc>
              <w:tc>
                <w:tcPr>
                  <w:tcW w:w="1042"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w:t>
                  </w:r>
                </w:p>
              </w:tc>
              <w:tc>
                <w:tcPr>
                  <w:tcW w:w="1937"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0.0696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BOD</w:t>
                  </w:r>
                  <w:r>
                    <w:rPr>
                      <w:color w:val="000000" w:themeColor="text1"/>
                      <w:szCs w:val="21"/>
                      <w:vertAlign w:val="subscript"/>
                      <w14:textFill>
                        <w14:solidFill>
                          <w14:schemeClr w14:val="tx1"/>
                        </w14:solidFill>
                      </w14:textFill>
                    </w:rPr>
                    <w:t>5</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w:t>
                  </w:r>
                </w:p>
              </w:tc>
              <w:tc>
                <w:tcPr>
                  <w:tcW w:w="1937"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0.0432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c>
                <w:tcPr>
                  <w:tcW w:w="1937"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0.0516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1937"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710" w:type="pct"/>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LAS</w:t>
                  </w:r>
                </w:p>
              </w:tc>
              <w:tc>
                <w:tcPr>
                  <w:tcW w:w="955" w:type="pct"/>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1937" w:type="dxa"/>
                  <w:tcBorders>
                    <w:top w:val="single" w:color="auto" w:sz="6" w:space="0"/>
                    <w:left w:val="single" w:color="auto" w:sz="6" w:space="0"/>
                    <w:bottom w:val="single" w:color="auto" w:sz="12"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0.0012</w:t>
                  </w:r>
                </w:p>
              </w:tc>
            </w:tr>
          </w:tbl>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）汽车轮胎清洗废水</w:t>
            </w:r>
          </w:p>
          <w:p>
            <w:pPr>
              <w:snapToGrid w:val="0"/>
              <w:spacing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车辆清洗废水经过沉淀池</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bCs/>
                <w:color w:val="000000" w:themeColor="text1"/>
                <w:sz w:val="24"/>
                <w14:textFill>
                  <w14:solidFill>
                    <w14:schemeClr w14:val="tx1"/>
                  </w14:solidFill>
                </w14:textFill>
              </w:rPr>
              <w:t>沉淀处理后</w:t>
            </w:r>
            <w:r>
              <w:rPr>
                <w:rFonts w:hint="eastAsia"/>
                <w:color w:val="000000" w:themeColor="text1"/>
                <w:sz w:val="24"/>
                <w14:textFill>
                  <w14:solidFill>
                    <w14:schemeClr w14:val="tx1"/>
                  </w14:solidFill>
                </w14:textFill>
              </w:rPr>
              <w:t>循环使用</w:t>
            </w:r>
            <w:r>
              <w:rPr>
                <w:bCs/>
                <w:color w:val="000000" w:themeColor="text1"/>
                <w:sz w:val="24"/>
                <w14:textFill>
                  <w14:solidFill>
                    <w14:schemeClr w14:val="tx1"/>
                  </w14:solidFill>
                </w14:textFill>
              </w:rPr>
              <w:t>，不外排。</w:t>
            </w:r>
          </w:p>
          <w:p>
            <w:pPr>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2.3</w:t>
            </w:r>
            <w:r>
              <w:rPr>
                <w:rFonts w:hint="eastAsia"/>
                <w:color w:val="000000" w:themeColor="text1"/>
                <w:sz w:val="24"/>
                <w14:textFill>
                  <w14:solidFill>
                    <w14:schemeClr w14:val="tx1"/>
                  </w14:solidFill>
                </w14:textFill>
              </w:rPr>
              <w:t>废水处理措施</w:t>
            </w:r>
          </w:p>
          <w:p>
            <w:pPr>
              <w:adjustRightInd w:val="0"/>
              <w:snapToGrid w:val="0"/>
              <w:spacing w:line="480" w:lineRule="exact"/>
              <w:ind w:firstLine="480" w:firstLineChars="20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2.3.1</w:t>
            </w:r>
            <w:r>
              <w:rPr>
                <w:rFonts w:hint="eastAsia"/>
                <w:color w:val="000000" w:themeColor="text1"/>
                <w:sz w:val="24"/>
                <w14:textFill>
                  <w14:solidFill>
                    <w14:schemeClr w14:val="tx1"/>
                  </w14:solidFill>
                </w14:textFill>
              </w:rPr>
              <w:t>污水处理措施</w:t>
            </w:r>
          </w:p>
          <w:p>
            <w:pPr>
              <w:spacing w:line="480" w:lineRule="exact"/>
              <w:ind w:firstLine="480" w:firstLineChars="200"/>
              <w:jc w:val="left"/>
              <w:rPr>
                <w:bCs/>
                <w:color w:val="000000" w:themeColor="text1"/>
                <w:sz w:val="24"/>
                <w14:textFill>
                  <w14:solidFill>
                    <w14:schemeClr w14:val="tx1"/>
                  </w14:solidFill>
                </w14:textFill>
              </w:rPr>
            </w:pPr>
            <w:r>
              <w:rPr>
                <w:color w:val="000000" w:themeColor="text1"/>
                <w:sz w:val="24"/>
                <w14:textFill>
                  <w14:solidFill>
                    <w14:schemeClr w14:val="tx1"/>
                  </w14:solidFill>
                </w14:textFill>
              </w:rPr>
              <w:t>本项目采用旱厕，生活污水主要</w:t>
            </w:r>
            <w:r>
              <w:rPr>
                <w:rFonts w:hint="eastAsia"/>
                <w:color w:val="000000" w:themeColor="text1"/>
                <w:sz w:val="24"/>
                <w14:textFill>
                  <w14:solidFill>
                    <w14:schemeClr w14:val="tx1"/>
                  </w14:solidFill>
                </w14:textFill>
              </w:rPr>
              <w:t>是项目职工的日常生活用水</w:t>
            </w:r>
            <w:r>
              <w:rPr>
                <w:color w:val="000000" w:themeColor="text1"/>
                <w:sz w:val="24"/>
                <w14:textFill>
                  <w14:solidFill>
                    <w14:schemeClr w14:val="tx1"/>
                  </w14:solidFill>
                </w14:textFill>
              </w:rPr>
              <w:t>，生活污水含有的主要</w:t>
            </w:r>
            <w:r>
              <w:rPr>
                <w:bCs/>
                <w:color w:val="000000" w:themeColor="text1"/>
                <w:sz w:val="24"/>
                <w14:textFill>
                  <w14:solidFill>
                    <w14:schemeClr w14:val="tx1"/>
                  </w14:solidFill>
                </w14:textFill>
              </w:rPr>
              <w:t>污染物</w:t>
            </w:r>
            <w:r>
              <w:rPr>
                <w:rFonts w:hint="eastAsia"/>
                <w:bCs/>
                <w:color w:val="000000" w:themeColor="text1"/>
                <w:sz w:val="24"/>
                <w14:textFill>
                  <w14:solidFill>
                    <w14:schemeClr w14:val="tx1"/>
                  </w14:solidFill>
                </w14:textFill>
              </w:rPr>
              <w:t>为</w:t>
            </w:r>
            <w:r>
              <w:rPr>
                <w:bCs/>
                <w:color w:val="000000" w:themeColor="text1"/>
                <w:sz w:val="24"/>
                <w14:textFill>
                  <w14:solidFill>
                    <w14:schemeClr w14:val="tx1"/>
                  </w14:solidFill>
                </w14:textFill>
              </w:rPr>
              <w:t>总悬浮颗粒物SS、CODcr和BOD</w:t>
            </w:r>
            <w:r>
              <w:rPr>
                <w:bCs/>
                <w:color w:val="000000" w:themeColor="text1"/>
                <w:sz w:val="24"/>
                <w:vertAlign w:val="subscript"/>
                <w14:textFill>
                  <w14:solidFill>
                    <w14:schemeClr w14:val="tx1"/>
                  </w14:solidFill>
                </w14:textFill>
              </w:rPr>
              <w:t>5</w:t>
            </w:r>
            <w:r>
              <w:rPr>
                <w:rFonts w:hint="eastAsia"/>
                <w:bCs/>
                <w:color w:val="000000" w:themeColor="text1"/>
                <w:sz w:val="24"/>
                <w14:textFill>
                  <w14:solidFill>
                    <w14:schemeClr w14:val="tx1"/>
                  </w14:solidFill>
                </w14:textFill>
              </w:rPr>
              <w:t>。由于产生量较小且水质简单，生活污水直接用于厂区洒水抑尘。</w:t>
            </w:r>
            <w:r>
              <w:rPr>
                <w:bCs/>
                <w:color w:val="000000" w:themeColor="text1"/>
                <w:sz w:val="24"/>
                <w14:textFill>
                  <w14:solidFill>
                    <w14:schemeClr w14:val="tx1"/>
                  </w14:solidFill>
                </w14:textFill>
              </w:rPr>
              <w:t>车辆清洗废水经过沉淀池沉淀处理后</w:t>
            </w:r>
            <w:r>
              <w:rPr>
                <w:rFonts w:hint="eastAsia"/>
                <w:color w:val="000000" w:themeColor="text1"/>
                <w:sz w:val="24"/>
                <w14:textFill>
                  <w14:solidFill>
                    <w14:schemeClr w14:val="tx1"/>
                  </w14:solidFill>
                </w14:textFill>
              </w:rPr>
              <w:t>循环使用</w:t>
            </w:r>
            <w:r>
              <w:rPr>
                <w:bCs/>
                <w:color w:val="000000" w:themeColor="text1"/>
                <w:sz w:val="24"/>
                <w14:textFill>
                  <w14:solidFill>
                    <w14:schemeClr w14:val="tx1"/>
                  </w14:solidFill>
                </w14:textFill>
              </w:rPr>
              <w:t>，不外排。</w:t>
            </w:r>
          </w:p>
          <w:p>
            <w:pPr>
              <w:snapToGrid w:val="0"/>
              <w:spacing w:line="480" w:lineRule="exact"/>
              <w:ind w:firstLine="480" w:firstLineChars="200"/>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2.3.2初期雨水</w:t>
            </w:r>
          </w:p>
          <w:p>
            <w:pPr>
              <w:adjustRightInd w:val="0"/>
              <w:snapToGrid w:val="0"/>
              <w:spacing w:line="480" w:lineRule="exact"/>
              <w:ind w:firstLine="480" w:firstLineChars="200"/>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本项目</w:t>
            </w:r>
            <w:r>
              <w:rPr>
                <w:color w:val="000000" w:themeColor="text1"/>
                <w:kern w:val="0"/>
                <w:sz w:val="24"/>
                <w:szCs w:val="20"/>
                <w14:textFill>
                  <w14:solidFill>
                    <w14:schemeClr w14:val="tx1"/>
                  </w14:solidFill>
                </w14:textFill>
              </w:rPr>
              <w:t>厂区内降雨初期</w:t>
            </w:r>
            <w:r>
              <w:rPr>
                <w:rFonts w:hint="eastAsia"/>
                <w:color w:val="000000" w:themeColor="text1"/>
                <w:kern w:val="0"/>
                <w:sz w:val="24"/>
                <w:szCs w:val="20"/>
                <w14:textFill>
                  <w14:solidFill>
                    <w14:schemeClr w14:val="tx1"/>
                  </w14:solidFill>
                </w14:textFill>
              </w:rPr>
              <w:t>会</w:t>
            </w:r>
            <w:r>
              <w:rPr>
                <w:color w:val="000000" w:themeColor="text1"/>
                <w:kern w:val="0"/>
                <w:sz w:val="24"/>
                <w:szCs w:val="20"/>
                <w14:textFill>
                  <w14:solidFill>
                    <w14:schemeClr w14:val="tx1"/>
                  </w14:solidFill>
                </w14:textFill>
              </w:rPr>
              <w:t>产生初期雨水，</w:t>
            </w:r>
            <w:r>
              <w:rPr>
                <w:bCs/>
                <w:snapToGrid w:val="0"/>
                <w:color w:val="000000" w:themeColor="text1"/>
                <w:kern w:val="0"/>
                <w:sz w:val="24"/>
                <w:szCs w:val="20"/>
                <w14:textFill>
                  <w14:solidFill>
                    <w14:schemeClr w14:val="tx1"/>
                  </w14:solidFill>
                </w14:textFill>
              </w:rPr>
              <w:t>为预防初期雨水将生产过程洒落在场区地面上的少量粉尘带入地表水，</w:t>
            </w:r>
            <w:r>
              <w:rPr>
                <w:rFonts w:hint="eastAsia"/>
                <w:color w:val="000000" w:themeColor="text1"/>
                <w:kern w:val="0"/>
                <w:sz w:val="24"/>
                <w:szCs w:val="20"/>
                <w14:textFill>
                  <w14:solidFill>
                    <w14:schemeClr w14:val="tx1"/>
                  </w14:solidFill>
                </w14:textFill>
              </w:rPr>
              <w:t>环评要求对</w:t>
            </w:r>
            <w:r>
              <w:rPr>
                <w:color w:val="000000" w:themeColor="text1"/>
                <w:kern w:val="0"/>
                <w:sz w:val="24"/>
                <w:szCs w:val="20"/>
                <w14:textFill>
                  <w14:solidFill>
                    <w14:schemeClr w14:val="tx1"/>
                  </w14:solidFill>
                </w14:textFill>
              </w:rPr>
              <w:t>初期雨水</w:t>
            </w:r>
            <w:r>
              <w:rPr>
                <w:rFonts w:hint="eastAsia"/>
                <w:color w:val="000000" w:themeColor="text1"/>
                <w:kern w:val="0"/>
                <w:sz w:val="24"/>
                <w:szCs w:val="20"/>
                <w14:textFill>
                  <w14:solidFill>
                    <w14:schemeClr w14:val="tx1"/>
                  </w14:solidFill>
                </w14:textFill>
              </w:rPr>
              <w:t>进行收集，对于初期雨水量，评价按下列公式计算：</w:t>
            </w:r>
          </w:p>
          <w:p>
            <w:pPr>
              <w:spacing w:line="480" w:lineRule="exact"/>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暴雨强度q</w:t>
            </w:r>
            <w:r>
              <w:rPr>
                <w:rFonts w:hint="eastAsia"/>
                <w:color w:val="000000" w:themeColor="text1"/>
                <w:kern w:val="0"/>
                <w:sz w:val="24"/>
                <w:szCs w:val="20"/>
                <w14:textFill>
                  <w14:solidFill>
                    <w14:schemeClr w14:val="tx1"/>
                  </w14:solidFill>
                </w14:textFill>
              </w:rPr>
              <w:t>参考宁武</w:t>
            </w:r>
            <w:r>
              <w:rPr>
                <w:color w:val="000000" w:themeColor="text1"/>
                <w:kern w:val="0"/>
                <w:sz w:val="24"/>
                <w:szCs w:val="20"/>
                <w14:textFill>
                  <w14:solidFill>
                    <w14:schemeClr w14:val="tx1"/>
                  </w14:solidFill>
                </w14:textFill>
              </w:rPr>
              <w:t>暴雨强度公式计算，公式如下：</w:t>
            </w:r>
          </w:p>
          <w:p>
            <w:pPr>
              <w:spacing w:line="480" w:lineRule="exact"/>
              <w:ind w:firstLine="1080" w:firstLineChars="45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q=</w:t>
            </w:r>
            <w:r>
              <w:rPr>
                <w:rFonts w:hint="eastAsia"/>
                <w:color w:val="000000" w:themeColor="text1"/>
                <w:kern w:val="0"/>
                <w:sz w:val="24"/>
                <w:szCs w:val="20"/>
                <w14:textFill>
                  <w14:solidFill>
                    <w14:schemeClr w14:val="tx1"/>
                  </w14:solidFill>
                </w14:textFill>
              </w:rPr>
              <w:t>1736.8</w:t>
            </w:r>
            <w:r>
              <w:rPr>
                <w:color w:val="000000" w:themeColor="text1"/>
                <w:kern w:val="0"/>
                <w:sz w:val="24"/>
                <w:szCs w:val="20"/>
                <w14:textFill>
                  <w14:solidFill>
                    <w14:schemeClr w14:val="tx1"/>
                  </w14:solidFill>
                </w14:textFill>
              </w:rPr>
              <w:t>（1+</w:t>
            </w:r>
            <w:r>
              <w:rPr>
                <w:rFonts w:hint="eastAsia"/>
                <w:color w:val="000000" w:themeColor="text1"/>
                <w:kern w:val="0"/>
                <w:sz w:val="24"/>
                <w:szCs w:val="20"/>
                <w14:textFill>
                  <w14:solidFill>
                    <w14:schemeClr w14:val="tx1"/>
                  </w14:solidFill>
                </w14:textFill>
              </w:rPr>
              <w:t>1.081</w:t>
            </w:r>
            <w:r>
              <w:rPr>
                <w:color w:val="000000" w:themeColor="text1"/>
                <w:kern w:val="0"/>
                <w:sz w:val="24"/>
                <w:szCs w:val="20"/>
                <w14:textFill>
                  <w14:solidFill>
                    <w14:schemeClr w14:val="tx1"/>
                  </w14:solidFill>
                </w14:textFill>
              </w:rPr>
              <w:t xml:space="preserve">g </w:t>
            </w:r>
            <w:r>
              <w:rPr>
                <w:rFonts w:hint="eastAsia"/>
                <w:color w:val="000000" w:themeColor="text1"/>
                <w:kern w:val="0"/>
                <w:sz w:val="24"/>
                <w:szCs w:val="20"/>
                <w14:textFill>
                  <w14:solidFill>
                    <w14:schemeClr w14:val="tx1"/>
                  </w14:solidFill>
                </w14:textFill>
              </w:rPr>
              <w:t>T</w:t>
            </w:r>
            <w:r>
              <w:rPr>
                <w:color w:val="000000" w:themeColor="text1"/>
                <w:kern w:val="0"/>
                <w:sz w:val="24"/>
                <w:szCs w:val="20"/>
                <w14:textFill>
                  <w14:solidFill>
                    <w14:schemeClr w14:val="tx1"/>
                  </w14:solidFill>
                </w14:textFill>
              </w:rPr>
              <w:t>）/(t+</w:t>
            </w:r>
            <w:r>
              <w:rPr>
                <w:rFonts w:hint="eastAsia"/>
                <w:color w:val="000000" w:themeColor="text1"/>
                <w:kern w:val="0"/>
                <w:sz w:val="24"/>
                <w:szCs w:val="20"/>
                <w14:textFill>
                  <w14:solidFill>
                    <w14:schemeClr w14:val="tx1"/>
                  </w14:solidFill>
                </w14:textFill>
              </w:rPr>
              <w:t>10</w:t>
            </w:r>
            <w:r>
              <w:rPr>
                <w:color w:val="000000" w:themeColor="text1"/>
                <w:kern w:val="0"/>
                <w:sz w:val="24"/>
                <w:szCs w:val="20"/>
                <w14:textFill>
                  <w14:solidFill>
                    <w14:schemeClr w14:val="tx1"/>
                  </w14:solidFill>
                </w14:textFill>
              </w:rPr>
              <w:t>)</w:t>
            </w:r>
            <w:r>
              <w:rPr>
                <w:color w:val="000000" w:themeColor="text1"/>
                <w:kern w:val="0"/>
                <w:sz w:val="24"/>
                <w:szCs w:val="20"/>
                <w:vertAlign w:val="superscript"/>
                <w14:textFill>
                  <w14:solidFill>
                    <w14:schemeClr w14:val="tx1"/>
                  </w14:solidFill>
                </w14:textFill>
              </w:rPr>
              <w:t>0.</w:t>
            </w:r>
            <w:r>
              <w:rPr>
                <w:rFonts w:hint="eastAsia"/>
                <w:color w:val="000000" w:themeColor="text1"/>
                <w:kern w:val="0"/>
                <w:sz w:val="24"/>
                <w:szCs w:val="20"/>
                <w:vertAlign w:val="superscript"/>
                <w14:textFill>
                  <w14:solidFill>
                    <w14:schemeClr w14:val="tx1"/>
                  </w14:solidFill>
                </w14:textFill>
              </w:rPr>
              <w:t>81</w:t>
            </w:r>
            <w:r>
              <w:rPr>
                <w:color w:val="000000" w:themeColor="text1"/>
                <w:kern w:val="0"/>
                <w:sz w:val="24"/>
                <w:szCs w:val="20"/>
                <w14:textFill>
                  <w14:solidFill>
                    <w14:schemeClr w14:val="tx1"/>
                  </w14:solidFill>
                </w14:textFill>
              </w:rPr>
              <w:t>（L/s·公顷）</w:t>
            </w:r>
          </w:p>
          <w:p>
            <w:pPr>
              <w:spacing w:line="480" w:lineRule="exact"/>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式中：P—设计重现期，取2年；</w:t>
            </w:r>
          </w:p>
          <w:p>
            <w:pPr>
              <w:spacing w:line="480" w:lineRule="exact"/>
              <w:ind w:firstLine="1200" w:firstLineChars="5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t—降雨历时（取</w:t>
            </w:r>
            <w:r>
              <w:rPr>
                <w:rFonts w:hint="eastAsia"/>
                <w:color w:val="000000" w:themeColor="text1"/>
                <w:kern w:val="0"/>
                <w:sz w:val="24"/>
                <w:szCs w:val="20"/>
                <w14:textFill>
                  <w14:solidFill>
                    <w14:schemeClr w14:val="tx1"/>
                  </w14:solidFill>
                </w14:textFill>
              </w:rPr>
              <w:t>10</w:t>
            </w:r>
            <w:r>
              <w:rPr>
                <w:color w:val="000000" w:themeColor="text1"/>
                <w:kern w:val="0"/>
                <w:sz w:val="24"/>
                <w:szCs w:val="20"/>
                <w14:textFill>
                  <w14:solidFill>
                    <w14:schemeClr w14:val="tx1"/>
                  </w14:solidFill>
                </w14:textFill>
              </w:rPr>
              <w:t>min）。</w:t>
            </w:r>
          </w:p>
          <w:p>
            <w:pPr>
              <w:spacing w:line="480" w:lineRule="exact"/>
              <w:ind w:firstLine="480" w:firstLineChars="200"/>
              <w:rPr>
                <w:color w:val="000000" w:themeColor="text1"/>
                <w:kern w:val="0"/>
                <w:sz w:val="24"/>
                <w:szCs w:val="20"/>
                <w:vertAlign w:val="subscript"/>
                <w14:textFill>
                  <w14:solidFill>
                    <w14:schemeClr w14:val="tx1"/>
                  </w14:solidFill>
                </w14:textFill>
              </w:rPr>
            </w:pPr>
            <w:r>
              <w:rPr>
                <w:color w:val="000000" w:themeColor="text1"/>
                <w:kern w:val="0"/>
                <w:sz w:val="24"/>
                <w:szCs w:val="20"/>
                <w14:textFill>
                  <w14:solidFill>
                    <w14:schemeClr w14:val="tx1"/>
                  </w14:solidFill>
                </w14:textFill>
              </w:rPr>
              <w:t>雨水流量Q（L/s）按以下公式计算：</w:t>
            </w:r>
          </w:p>
          <w:p>
            <w:pPr>
              <w:spacing w:line="480" w:lineRule="exact"/>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 xml:space="preserve">  </w:t>
            </w:r>
            <w:r>
              <w:rPr>
                <w:rFonts w:hint="eastAsia"/>
                <w:color w:val="000000" w:themeColor="text1"/>
                <w:kern w:val="0"/>
                <w:sz w:val="24"/>
                <w:szCs w:val="20"/>
                <w14:textFill>
                  <w14:solidFill>
                    <w14:schemeClr w14:val="tx1"/>
                  </w14:solidFill>
                </w14:textFill>
              </w:rPr>
              <w:t xml:space="preserve">    </w:t>
            </w:r>
            <w:r>
              <w:rPr>
                <w:color w:val="000000" w:themeColor="text1"/>
                <w:kern w:val="0"/>
                <w:position w:val="-10"/>
                <w:sz w:val="24"/>
                <w:szCs w:val="20"/>
                <w14:textFill>
                  <w14:solidFill>
                    <w14:schemeClr w14:val="tx1"/>
                  </w14:solidFill>
                </w14:textFill>
              </w:rPr>
              <w:drawing>
                <wp:inline distT="0" distB="0" distL="0" distR="0">
                  <wp:extent cx="876300" cy="200025"/>
                  <wp:effectExtent l="19050" t="0" r="0" b="0"/>
                  <wp:docPr id="10"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对象 2"/>
                          <pic:cNvPicPr>
                            <a:picLocks noChangeAspect="1" noChangeArrowheads="1"/>
                          </pic:cNvPicPr>
                        </pic:nvPicPr>
                        <pic:blipFill>
                          <a:blip r:embed="rId21"/>
                          <a:srcRect/>
                          <a:stretch>
                            <a:fillRect/>
                          </a:stretch>
                        </pic:blipFill>
                        <pic:spPr>
                          <a:xfrm>
                            <a:off x="0" y="0"/>
                            <a:ext cx="876300" cy="200025"/>
                          </a:xfrm>
                          <a:prstGeom prst="rect">
                            <a:avLst/>
                          </a:prstGeom>
                          <a:noFill/>
                          <a:ln w="9525">
                            <a:noFill/>
                            <a:miter lim="800000"/>
                            <a:headEnd/>
                            <a:tailEnd/>
                          </a:ln>
                        </pic:spPr>
                      </pic:pic>
                    </a:graphicData>
                  </a:graphic>
                </wp:inline>
              </w:drawing>
            </w:r>
          </w:p>
          <w:p>
            <w:pPr>
              <w:spacing w:line="480" w:lineRule="exact"/>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其中：</w:t>
            </w:r>
            <w:r>
              <w:rPr>
                <w:color w:val="000000" w:themeColor="text1"/>
                <w:kern w:val="0"/>
                <w:position w:val="-4"/>
                <w:sz w:val="24"/>
                <w:szCs w:val="20"/>
                <w14:textFill>
                  <w14:solidFill>
                    <w14:schemeClr w14:val="tx1"/>
                  </w14:solidFill>
                </w14:textFill>
              </w:rPr>
              <w:drawing>
                <wp:inline distT="0" distB="0" distL="0" distR="0">
                  <wp:extent cx="161925" cy="152400"/>
                  <wp:effectExtent l="0" t="0" r="0" b="0"/>
                  <wp:docPr id="9" name="对象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对象 3"/>
                          <pic:cNvPicPr>
                            <a:picLocks noChangeAspect="1" noChangeArrowheads="1"/>
                          </pic:cNvPicPr>
                        </pic:nvPicPr>
                        <pic:blipFill>
                          <a:blip r:embed="rId22"/>
                          <a:srcRect/>
                          <a:stretch>
                            <a:fillRect/>
                          </a:stretch>
                        </pic:blipFill>
                        <pic:spPr>
                          <a:xfrm>
                            <a:off x="0" y="0"/>
                            <a:ext cx="161925" cy="152400"/>
                          </a:xfrm>
                          <a:prstGeom prst="rect">
                            <a:avLst/>
                          </a:prstGeom>
                          <a:noFill/>
                          <a:ln w="9525">
                            <a:noFill/>
                            <a:miter lim="800000"/>
                            <a:headEnd/>
                            <a:tailEnd/>
                          </a:ln>
                        </pic:spPr>
                      </pic:pic>
                    </a:graphicData>
                  </a:graphic>
                </wp:inline>
              </w:drawing>
            </w:r>
            <w:r>
              <w:rPr>
                <w:color w:val="000000" w:themeColor="text1"/>
                <w:kern w:val="0"/>
                <w:sz w:val="24"/>
                <w:szCs w:val="20"/>
                <w14:textFill>
                  <w14:solidFill>
                    <w14:schemeClr w14:val="tx1"/>
                  </w14:solidFill>
                </w14:textFill>
              </w:rPr>
              <w:t>—径流系数，取0.6；</w:t>
            </w:r>
          </w:p>
          <w:p>
            <w:pPr>
              <w:spacing w:line="480" w:lineRule="exact"/>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 xml:space="preserve">      q—设计暴雨强度（L/s·公顷）；</w:t>
            </w:r>
          </w:p>
          <w:p>
            <w:pPr>
              <w:spacing w:line="480" w:lineRule="exact"/>
              <w:ind w:firstLine="480" w:firstLineChars="200"/>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 xml:space="preserve">      F—汇水面积（</w:t>
            </w:r>
            <w:r>
              <w:rPr>
                <w:rFonts w:hint="eastAsia"/>
                <w:color w:val="000000" w:themeColor="text1"/>
                <w:kern w:val="0"/>
                <w:sz w:val="24"/>
                <w:szCs w:val="20"/>
                <w14:textFill>
                  <w14:solidFill>
                    <w14:schemeClr w14:val="tx1"/>
                  </w14:solidFill>
                </w14:textFill>
              </w:rPr>
              <w:t>6000</w:t>
            </w:r>
            <w:r>
              <w:rPr>
                <w:color w:val="000000" w:themeColor="text1"/>
                <w:kern w:val="0"/>
                <w:sz w:val="24"/>
                <w:szCs w:val="20"/>
                <w14:textFill>
                  <w14:solidFill>
                    <w14:schemeClr w14:val="tx1"/>
                  </w14:solidFill>
                </w14:textFill>
              </w:rPr>
              <w:t>m</w:t>
            </w:r>
            <w:r>
              <w:rPr>
                <w:color w:val="000000" w:themeColor="text1"/>
                <w:kern w:val="0"/>
                <w:sz w:val="24"/>
                <w:szCs w:val="20"/>
                <w:vertAlign w:val="superscript"/>
                <w14:textFill>
                  <w14:solidFill>
                    <w14:schemeClr w14:val="tx1"/>
                  </w14:solidFill>
                </w14:textFill>
              </w:rPr>
              <w:t>2</w:t>
            </w:r>
            <w:r>
              <w:rPr>
                <w:color w:val="000000" w:themeColor="text1"/>
                <w:kern w:val="0"/>
                <w:sz w:val="24"/>
                <w:szCs w:val="20"/>
                <w14:textFill>
                  <w14:solidFill>
                    <w14:schemeClr w14:val="tx1"/>
                  </w14:solidFill>
                </w14:textFill>
              </w:rPr>
              <w:t>）</w:t>
            </w:r>
          </w:p>
          <w:p>
            <w:pPr>
              <w:spacing w:line="500" w:lineRule="exact"/>
              <w:ind w:firstLine="480" w:firstLineChars="200"/>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经计</w:t>
            </w:r>
            <w:r>
              <w:rPr>
                <w:color w:val="000000" w:themeColor="text1"/>
                <w:kern w:val="0"/>
                <w:sz w:val="24"/>
                <w:szCs w:val="20"/>
                <w14:textFill>
                  <w14:solidFill>
                    <w14:schemeClr w14:val="tx1"/>
                  </w14:solidFill>
                </w14:textFill>
              </w:rPr>
              <w:t>算，q</w:t>
            </w:r>
            <w:r>
              <w:rPr>
                <w:rFonts w:hint="eastAsia"/>
                <w:color w:val="000000" w:themeColor="text1"/>
                <w:kern w:val="0"/>
                <w:sz w:val="24"/>
                <w:szCs w:val="20"/>
                <w14:textFill>
                  <w14:solidFill>
                    <w14:schemeClr w14:val="tx1"/>
                  </w14:solidFill>
                </w14:textFill>
              </w:rPr>
              <w:t>为203.31</w:t>
            </w:r>
            <w:r>
              <w:rPr>
                <w:color w:val="000000" w:themeColor="text1"/>
                <w:kern w:val="0"/>
                <w:sz w:val="24"/>
                <w:szCs w:val="20"/>
                <w14:textFill>
                  <w14:solidFill>
                    <w14:schemeClr w14:val="tx1"/>
                  </w14:solidFill>
                </w14:textFill>
              </w:rPr>
              <w:t>L/s·公顷</w:t>
            </w:r>
            <w:r>
              <w:rPr>
                <w:rFonts w:hint="eastAsia"/>
                <w:color w:val="000000" w:themeColor="text1"/>
                <w:kern w:val="0"/>
                <w:sz w:val="24"/>
                <w:szCs w:val="20"/>
                <w14:textFill>
                  <w14:solidFill>
                    <w14:schemeClr w14:val="tx1"/>
                  </w14:solidFill>
                </w14:textFill>
              </w:rPr>
              <w:t>，则</w:t>
            </w:r>
            <w:r>
              <w:rPr>
                <w:color w:val="000000" w:themeColor="text1"/>
                <w:kern w:val="0"/>
                <w:sz w:val="24"/>
                <w:szCs w:val="20"/>
                <w14:textFill>
                  <w14:solidFill>
                    <w14:schemeClr w14:val="tx1"/>
                  </w14:solidFill>
                </w14:textFill>
              </w:rPr>
              <w:t>前</w:t>
            </w:r>
            <w:r>
              <w:rPr>
                <w:rFonts w:hint="eastAsia"/>
                <w:color w:val="000000" w:themeColor="text1"/>
                <w:kern w:val="0"/>
                <w:sz w:val="24"/>
                <w:szCs w:val="20"/>
                <w14:textFill>
                  <w14:solidFill>
                    <w14:schemeClr w14:val="tx1"/>
                  </w14:solidFill>
                </w14:textFill>
              </w:rPr>
              <w:t>10</w:t>
            </w:r>
            <w:r>
              <w:rPr>
                <w:color w:val="000000" w:themeColor="text1"/>
                <w:kern w:val="0"/>
                <w:sz w:val="24"/>
                <w:szCs w:val="20"/>
                <w14:textFill>
                  <w14:solidFill>
                    <w14:schemeClr w14:val="tx1"/>
                  </w14:solidFill>
                </w14:textFill>
              </w:rPr>
              <w:t>min初期雨水量</w:t>
            </w:r>
            <w:r>
              <w:rPr>
                <w:rFonts w:hint="eastAsia"/>
                <w:color w:val="000000" w:themeColor="text1"/>
                <w:kern w:val="0"/>
                <w:sz w:val="24"/>
                <w:szCs w:val="20"/>
                <w14:textFill>
                  <w14:solidFill>
                    <w14:schemeClr w14:val="tx1"/>
                  </w14:solidFill>
                </w14:textFill>
              </w:rPr>
              <w:t>为76</w:t>
            </w:r>
            <w:r>
              <w:rPr>
                <w:color w:val="000000" w:themeColor="text1"/>
                <w:kern w:val="0"/>
                <w:sz w:val="24"/>
                <w:szCs w:val="20"/>
                <w14:textFill>
                  <w14:solidFill>
                    <w14:schemeClr w14:val="tx1"/>
                  </w14:solidFill>
                </w14:textFill>
              </w:rPr>
              <w:t>m</w:t>
            </w:r>
            <w:r>
              <w:rPr>
                <w:color w:val="000000" w:themeColor="text1"/>
                <w:kern w:val="0"/>
                <w:sz w:val="24"/>
                <w:szCs w:val="20"/>
                <w:vertAlign w:val="superscript"/>
                <w14:textFill>
                  <w14:solidFill>
                    <w14:schemeClr w14:val="tx1"/>
                  </w14:solidFill>
                </w14:textFill>
              </w:rPr>
              <w:t>3</w:t>
            </w:r>
            <w:r>
              <w:rPr>
                <w:color w:val="000000" w:themeColor="text1"/>
                <w:kern w:val="0"/>
                <w:sz w:val="24"/>
                <w:szCs w:val="20"/>
                <w14:textFill>
                  <w14:solidFill>
                    <w14:schemeClr w14:val="tx1"/>
                  </w14:solidFill>
                </w14:textFill>
              </w:rPr>
              <w:t>。</w:t>
            </w:r>
          </w:p>
          <w:p>
            <w:pPr>
              <w:tabs>
                <w:tab w:val="left" w:pos="0"/>
              </w:tabs>
              <w:spacing w:line="480" w:lineRule="exact"/>
              <w:ind w:firstLine="480" w:firstLineChars="200"/>
              <w:rPr>
                <w:bCs/>
                <w:snapToGrid w:val="0"/>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评价要求厂区地面进行硬化，在</w:t>
            </w:r>
            <w:r>
              <w:rPr>
                <w:color w:val="000000" w:themeColor="text1"/>
                <w:kern w:val="0"/>
                <w:sz w:val="24"/>
                <w:szCs w:val="20"/>
                <w14:textFill>
                  <w14:solidFill>
                    <w14:schemeClr w14:val="tx1"/>
                  </w14:solidFill>
                </w14:textFill>
              </w:rPr>
              <w:t>厂区</w:t>
            </w:r>
            <w:r>
              <w:rPr>
                <w:rFonts w:hint="eastAsia"/>
                <w:color w:val="000000" w:themeColor="text1"/>
                <w:kern w:val="0"/>
                <w:sz w:val="24"/>
                <w:szCs w:val="20"/>
                <w14:textFill>
                  <w14:solidFill>
                    <w14:schemeClr w14:val="tx1"/>
                  </w14:solidFill>
                </w14:textFill>
              </w:rPr>
              <w:t>地势最低处（厂区西南侧）</w:t>
            </w:r>
            <w:r>
              <w:rPr>
                <w:color w:val="000000" w:themeColor="text1"/>
                <w:kern w:val="0"/>
                <w:sz w:val="24"/>
                <w:szCs w:val="20"/>
                <w14:textFill>
                  <w14:solidFill>
                    <w14:schemeClr w14:val="tx1"/>
                  </w14:solidFill>
                </w14:textFill>
              </w:rPr>
              <w:t>建设</w:t>
            </w:r>
            <w:r>
              <w:rPr>
                <w:rFonts w:hint="eastAsia"/>
                <w:color w:val="000000" w:themeColor="text1"/>
                <w:kern w:val="0"/>
                <w:sz w:val="24"/>
                <w:szCs w:val="20"/>
                <w14:textFill>
                  <w14:solidFill>
                    <w14:schemeClr w14:val="tx1"/>
                  </w14:solidFill>
                </w14:textFill>
              </w:rPr>
              <w:t>1</w:t>
            </w:r>
            <w:r>
              <w:rPr>
                <w:color w:val="000000" w:themeColor="text1"/>
                <w:kern w:val="0"/>
                <w:sz w:val="24"/>
                <w:szCs w:val="20"/>
                <w14:textFill>
                  <w14:solidFill>
                    <w14:schemeClr w14:val="tx1"/>
                  </w14:solidFill>
                </w14:textFill>
              </w:rPr>
              <w:t>座</w:t>
            </w:r>
            <w:r>
              <w:rPr>
                <w:rFonts w:hint="eastAsia"/>
                <w:color w:val="000000" w:themeColor="text1"/>
                <w:kern w:val="0"/>
                <w:sz w:val="24"/>
                <w:szCs w:val="20"/>
                <w14:textFill>
                  <w14:solidFill>
                    <w14:schemeClr w14:val="tx1"/>
                  </w14:solidFill>
                </w14:textFill>
              </w:rPr>
              <w:t>容积为100</w:t>
            </w:r>
            <w:r>
              <w:rPr>
                <w:color w:val="000000" w:themeColor="text1"/>
                <w:kern w:val="0"/>
                <w:sz w:val="24"/>
                <w:szCs w:val="20"/>
                <w14:textFill>
                  <w14:solidFill>
                    <w14:schemeClr w14:val="tx1"/>
                  </w14:solidFill>
                </w14:textFill>
              </w:rPr>
              <w:t>m</w:t>
            </w:r>
            <w:r>
              <w:rPr>
                <w:color w:val="000000" w:themeColor="text1"/>
                <w:kern w:val="0"/>
                <w:sz w:val="24"/>
                <w:szCs w:val="20"/>
                <w:vertAlign w:val="superscript"/>
                <w14:textFill>
                  <w14:solidFill>
                    <w14:schemeClr w14:val="tx1"/>
                  </w14:solidFill>
                </w14:textFill>
              </w:rPr>
              <w:t>3</w:t>
            </w:r>
            <w:r>
              <w:rPr>
                <w:color w:val="000000" w:themeColor="text1"/>
                <w:kern w:val="0"/>
                <w:sz w:val="24"/>
                <w:szCs w:val="20"/>
                <w14:textFill>
                  <w14:solidFill>
                    <w14:schemeClr w14:val="tx1"/>
                  </w14:solidFill>
                </w14:textFill>
              </w:rPr>
              <w:t>的</w:t>
            </w:r>
            <w:r>
              <w:rPr>
                <w:rFonts w:hint="eastAsia"/>
                <w:color w:val="000000" w:themeColor="text1"/>
                <w:kern w:val="0"/>
                <w:sz w:val="24"/>
                <w:szCs w:val="20"/>
                <w14:textFill>
                  <w14:solidFill>
                    <w14:schemeClr w14:val="tx1"/>
                  </w14:solidFill>
                </w14:textFill>
              </w:rPr>
              <w:t>防渗结构雨水收集</w:t>
            </w:r>
            <w:r>
              <w:rPr>
                <w:color w:val="000000" w:themeColor="text1"/>
                <w:kern w:val="0"/>
                <w:sz w:val="24"/>
                <w:szCs w:val="20"/>
                <w14:textFill>
                  <w14:solidFill>
                    <w14:schemeClr w14:val="tx1"/>
                  </w14:solidFill>
                </w14:textFill>
              </w:rPr>
              <w:t>池，该收集池</w:t>
            </w:r>
            <w:r>
              <w:rPr>
                <w:rFonts w:hint="eastAsia"/>
                <w:color w:val="000000" w:themeColor="text1"/>
                <w:kern w:val="0"/>
                <w:sz w:val="24"/>
                <w:szCs w:val="20"/>
                <w14:textFill>
                  <w14:solidFill>
                    <w14:schemeClr w14:val="tx1"/>
                  </w14:solidFill>
                </w14:textFill>
              </w:rPr>
              <w:t>可</w:t>
            </w:r>
            <w:r>
              <w:rPr>
                <w:color w:val="000000" w:themeColor="text1"/>
                <w:kern w:val="0"/>
                <w:sz w:val="24"/>
                <w:szCs w:val="20"/>
                <w14:textFill>
                  <w14:solidFill>
                    <w14:schemeClr w14:val="tx1"/>
                  </w14:solidFill>
                </w14:textFill>
              </w:rPr>
              <w:t>满足本项目</w:t>
            </w:r>
            <w:r>
              <w:rPr>
                <w:rFonts w:hint="eastAsia"/>
                <w:color w:val="000000" w:themeColor="text1"/>
                <w:kern w:val="0"/>
                <w:sz w:val="24"/>
                <w:szCs w:val="20"/>
                <w14:textFill>
                  <w14:solidFill>
                    <w14:schemeClr w14:val="tx1"/>
                  </w14:solidFill>
                </w14:textFill>
              </w:rPr>
              <w:t>厂区</w:t>
            </w:r>
            <w:r>
              <w:rPr>
                <w:color w:val="000000" w:themeColor="text1"/>
                <w:kern w:val="0"/>
                <w:sz w:val="24"/>
                <w:szCs w:val="20"/>
                <w14:textFill>
                  <w14:solidFill>
                    <w14:schemeClr w14:val="tx1"/>
                  </w14:solidFill>
                </w14:textFill>
              </w:rPr>
              <w:t>前10min初期雨水收集的要求。</w:t>
            </w:r>
            <w:r>
              <w:rPr>
                <w:bCs/>
                <w:snapToGrid w:val="0"/>
                <w:color w:val="000000" w:themeColor="text1"/>
                <w:kern w:val="0"/>
                <w:sz w:val="24"/>
                <w:szCs w:val="20"/>
                <w14:textFill>
                  <w14:solidFill>
                    <w14:schemeClr w14:val="tx1"/>
                  </w14:solidFill>
                </w14:textFill>
              </w:rPr>
              <w:t>雨水经其收集沉淀后可用于</w:t>
            </w:r>
            <w:r>
              <w:rPr>
                <w:rFonts w:hint="eastAsia"/>
                <w:bCs/>
                <w:snapToGrid w:val="0"/>
                <w:color w:val="000000" w:themeColor="text1"/>
                <w:kern w:val="0"/>
                <w:sz w:val="24"/>
                <w:szCs w:val="20"/>
                <w14:textFill>
                  <w14:solidFill>
                    <w14:schemeClr w14:val="tx1"/>
                  </w14:solidFill>
                </w14:textFill>
              </w:rPr>
              <w:t>厂区</w:t>
            </w:r>
            <w:r>
              <w:rPr>
                <w:bCs/>
                <w:snapToGrid w:val="0"/>
                <w:color w:val="000000" w:themeColor="text1"/>
                <w:kern w:val="0"/>
                <w:sz w:val="24"/>
                <w:szCs w:val="20"/>
                <w14:textFill>
                  <w14:solidFill>
                    <w14:schemeClr w14:val="tx1"/>
                  </w14:solidFill>
                </w14:textFill>
              </w:rPr>
              <w:t>降尘</w:t>
            </w:r>
            <w:r>
              <w:rPr>
                <w:rFonts w:hint="eastAsia"/>
                <w:bCs/>
                <w:snapToGrid w:val="0"/>
                <w:color w:val="000000" w:themeColor="text1"/>
                <w:kern w:val="0"/>
                <w:sz w:val="24"/>
                <w:szCs w:val="20"/>
                <w14:textFill>
                  <w14:solidFill>
                    <w14:schemeClr w14:val="tx1"/>
                  </w14:solidFill>
                </w14:textFill>
              </w:rPr>
              <w:t>洒水</w:t>
            </w:r>
            <w:r>
              <w:rPr>
                <w:bCs/>
                <w:snapToGrid w:val="0"/>
                <w:color w:val="000000" w:themeColor="text1"/>
                <w:kern w:val="0"/>
                <w:sz w:val="24"/>
                <w:szCs w:val="20"/>
                <w14:textFill>
                  <w14:solidFill>
                    <w14:schemeClr w14:val="tx1"/>
                  </w14:solidFill>
                </w14:textFill>
              </w:rPr>
              <w:t>，</w:t>
            </w:r>
            <w:r>
              <w:rPr>
                <w:rFonts w:hint="eastAsia"/>
                <w:bCs/>
                <w:snapToGrid w:val="0"/>
                <w:color w:val="000000" w:themeColor="text1"/>
                <w:kern w:val="0"/>
                <w:sz w:val="24"/>
                <w:szCs w:val="20"/>
                <w14:textFill>
                  <w14:solidFill>
                    <w14:schemeClr w14:val="tx1"/>
                  </w14:solidFill>
                </w14:textFill>
              </w:rPr>
              <w:t>不得直接</w:t>
            </w:r>
            <w:r>
              <w:rPr>
                <w:bCs/>
                <w:snapToGrid w:val="0"/>
                <w:color w:val="000000" w:themeColor="text1"/>
                <w:kern w:val="0"/>
                <w:sz w:val="24"/>
                <w:szCs w:val="20"/>
                <w14:textFill>
                  <w14:solidFill>
                    <w14:schemeClr w14:val="tx1"/>
                  </w14:solidFill>
                </w14:textFill>
              </w:rPr>
              <w:t>外排。</w:t>
            </w:r>
          </w:p>
          <w:p>
            <w:pPr>
              <w:spacing w:line="480" w:lineRule="exact"/>
              <w:ind w:firstLine="482" w:firstLineChars="200"/>
              <w:outlineLvl w:val="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4地表水环境影响评价查表</w:t>
            </w:r>
          </w:p>
          <w:p>
            <w:pPr>
              <w:spacing w:line="480" w:lineRule="atLeast"/>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表7-12 地表水环境影响评价自查表</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620"/>
              <w:gridCol w:w="1248"/>
              <w:gridCol w:w="427"/>
              <w:gridCol w:w="754"/>
              <w:gridCol w:w="384"/>
              <w:gridCol w:w="995"/>
              <w:gridCol w:w="142"/>
              <w:gridCol w:w="909"/>
              <w:gridCol w:w="583"/>
              <w:gridCol w:w="71"/>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工作内容</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影</w:t>
                  </w:r>
                </w:p>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响</w:t>
                  </w:r>
                </w:p>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识</w:t>
                  </w:r>
                </w:p>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别</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影响类型</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水污染影响型</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ascii="宋体" w:hAnsi="宋体"/>
                      <w:color w:val="000000" w:themeColor="text1"/>
                      <w:position w:val="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水环境保护目标</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饮用水水源保护□；饮用水取水</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ascii="宋体" w:hAnsi="宋体"/>
                      <w:color w:val="000000" w:themeColor="text1"/>
                      <w:position w:val="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；涉水的自然保护区□；重要湿地□；</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重点保护与珍稀水生生物的栖息地□；重要水生生物的自然产卵场及索饵场、越冬场和洄游通道、天然渔场等渔业水体□；涉水的风景名胜区□；其他□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影响途径</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水污染影响型</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直接排放□；间接排放□；其他</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ascii="宋体" w:hAnsi="宋体"/>
                      <w:color w:val="000000" w:themeColor="text1"/>
                      <w:position w:val="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水温□；径流□；水域面积□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pct"/>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评价等级</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水污染影响型</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一级□；二级□；三级</w:t>
                  </w:r>
                  <w:r>
                    <w:rPr>
                      <w:rFonts w:hint="eastAsia" w:ascii="LWOFKQ+TimesNewRomanPSMT"/>
                      <w:color w:val="000000" w:themeColor="text1"/>
                      <w:sz w:val="18"/>
                      <w:szCs w:val="18"/>
                      <w14:textFill>
                        <w14:solidFill>
                          <w14:schemeClr w14:val="tx1"/>
                        </w14:solidFill>
                      </w14:textFill>
                    </w:rPr>
                    <w:t>A</w:t>
                  </w:r>
                  <w:r>
                    <w:rPr>
                      <w:rFonts w:hint="eastAsia" w:ascii="宋体" w:hAnsi="宋体" w:cs="宋体"/>
                      <w:color w:val="000000" w:themeColor="text1"/>
                      <w:sz w:val="18"/>
                      <w:szCs w:val="18"/>
                      <w14:textFill>
                        <w14:solidFill>
                          <w14:schemeClr w14:val="tx1"/>
                        </w14:solidFill>
                      </w14:textFill>
                    </w:rPr>
                    <w:t>□；三级</w:t>
                  </w:r>
                  <w:r>
                    <w:rPr>
                      <w:rFonts w:hint="eastAsia" w:ascii="LWOFKQ+TimesNewRomanPSMT"/>
                      <w:color w:val="000000" w:themeColor="text1"/>
                      <w:sz w:val="18"/>
                      <w:szCs w:val="18"/>
                      <w14:textFill>
                        <w14:solidFill>
                          <w14:schemeClr w14:val="tx1"/>
                        </w14:solidFill>
                      </w14:textFill>
                    </w:rPr>
                    <w:t>B</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ascii="宋体" w:hAnsi="宋体"/>
                      <w:color w:val="000000" w:themeColor="text1"/>
                      <w:position w:val="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现状调查</w:t>
                  </w: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区域污染源</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调查项目</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99"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已建□；在建□；拟建□；</w:t>
                  </w:r>
                  <w:r>
                    <w:rPr>
                      <w:rFonts w:hint="eastAsia" w:ascii="黑体" w:hAnsi="黑体" w:cs="黑体"/>
                      <w:color w:val="000000" w:themeColor="text1"/>
                      <w:sz w:val="18"/>
                      <w:szCs w:val="18"/>
                      <w14:textFill>
                        <w14:solidFill>
                          <w14:schemeClr w14:val="tx1"/>
                        </w14:solidFill>
                      </w14:textFill>
                    </w:rPr>
                    <w:t>其他</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ascii="宋体" w:hAnsi="宋体"/>
                      <w:color w:val="000000" w:themeColor="text1"/>
                      <w:position w:val="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tc>
              <w:tc>
                <w:tcPr>
                  <w:tcW w:w="1145"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拟替代的污染源□</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排污许可证□；环评□；环保验收□；既有实测□；现场监测□；入河排放口数据□；其他□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受影响水体水环境质量</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调查时期</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丰水期□；平水期□；枯水期□；冰封期□</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春季□；夏季□；秋季□；冬季□</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生态环境保护主管部门□；补充监测□；其他□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区域水资源开发利用状况</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未开发□；开发量   40%以下□；开发量   40%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水文情势调查</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调查时期</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丰水期□；平水期□；枯水期□；冰封期□</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春季□；夏季□；秋季□；冬季□</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水行政主管部门□；补充监测□；其他□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补充监测</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监测时期</w:t>
                  </w:r>
                </w:p>
              </w:tc>
              <w:tc>
                <w:tcPr>
                  <w:tcW w:w="877"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监测因子</w:t>
                  </w:r>
                </w:p>
              </w:tc>
              <w:tc>
                <w:tcPr>
                  <w:tcW w:w="99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丰水期□；平水期□；枯水期□；冰封期□</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春季□；夏季□；秋季□；冬季□</w:t>
                  </w:r>
                </w:p>
              </w:tc>
              <w:tc>
                <w:tcPr>
                  <w:tcW w:w="877"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c>
                <w:tcPr>
                  <w:tcW w:w="99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监测断面或点位个数（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宋体" w:hAnsi="宋体" w:cs="黑体"/>
                      <w:color w:val="000000" w:themeColor="text1"/>
                      <w:sz w:val="18"/>
                      <w:szCs w:val="18"/>
                      <w14:textFill>
                        <w14:solidFill>
                          <w14:schemeClr w14:val="tx1"/>
                        </w14:solidFill>
                      </w14:textFill>
                    </w:rPr>
                    <w:t>现状评价</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评价范围</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河流：长度（ ）km；湖库、河口及近岸海域：面积（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评价因子</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评价标准</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河流、湖库、河口：Ⅰ类□；Ⅱ类□；Ⅲ类</w:t>
                  </w:r>
                  <w:r>
                    <w:rPr>
                      <w:rFonts w:hint="eastAsia" w:ascii="宋体" w:hAnsi="宋体" w:cs="宋体"/>
                      <w:color w:val="000000" w:themeColor="text1"/>
                      <w:sz w:val="18"/>
                      <w:szCs w:val="18"/>
                      <w14:textFill>
                        <w14:solidFill>
                          <w14:schemeClr w14:val="tx1"/>
                        </w14:solidFill>
                      </w14:textFill>
                    </w:rPr>
                    <w:t>□</w:t>
                  </w:r>
                  <w:r>
                    <w:rPr>
                      <w:rFonts w:hint="eastAsia" w:ascii="黑体" w:hAnsi="黑体" w:cs="黑体"/>
                      <w:color w:val="000000" w:themeColor="text1"/>
                      <w:sz w:val="18"/>
                      <w:szCs w:val="18"/>
                      <w14:textFill>
                        <w14:solidFill>
                          <w14:schemeClr w14:val="tx1"/>
                        </w14:solidFill>
                      </w14:textFill>
                    </w:rPr>
                    <w:t>；Ⅳ类</w:t>
                  </w:r>
                  <w:r>
                    <w:rPr>
                      <w:rFonts w:hint="eastAsia" w:ascii="宋体" w:hAnsi="宋体" w:cs="宋体"/>
                      <w:color w:val="000000" w:themeColor="text1"/>
                      <w:sz w:val="18"/>
                      <w:szCs w:val="18"/>
                      <w14:textFill>
                        <w14:solidFill>
                          <w14:schemeClr w14:val="tx1"/>
                        </w14:solidFill>
                      </w14:textFill>
                    </w:rPr>
                    <w:t>□</w:t>
                  </w:r>
                  <w:r>
                    <w:rPr>
                      <w:rFonts w:hint="eastAsia" w:ascii="黑体" w:hAnsi="黑体" w:cs="黑体"/>
                      <w:color w:val="000000" w:themeColor="text1"/>
                      <w:sz w:val="18"/>
                      <w:szCs w:val="18"/>
                      <w14:textFill>
                        <w14:solidFill>
                          <w14:schemeClr w14:val="tx1"/>
                        </w14:solidFill>
                      </w14:textFill>
                    </w:rPr>
                    <w:t>；Ⅴ 类</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ascii="宋体" w:hAnsi="宋体"/>
                      <w:color w:val="000000" w:themeColor="text1"/>
                      <w:position w:val="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近岸海域：第一类□；第二类□；第三类□；第四类□</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规划年评价标准（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评价时期</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丰水期□；平水期□；枯水期□；冰封期□</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春季□；夏季□；秋季□；冬季□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评价结论</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水环境功能区或水功能区、近岸海域环境功能区水质达标状况□：达标□；不达标□</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水环境控制单元或断面水质达标状况□：达标□；不达标□</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水环境保护目标质量状况□：达标□；不达标□</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对照断面、控制断面等代表性断面的水质状况□：达标□；不达标□</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底泥污染评价□</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水资源与开发利用程度及其水文情势评价□</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水环境质量回顾评价□</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流域（区域）水资源（包括水能资源）与开发利用总体状况、生态流量管理要求与现状满足程度、建设项目占用水域空间的水流状况与河湖演变状况□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影响预测</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预测范围</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河流：长度（ ）km；湖库、河口及近岸海域：面积（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预测因子</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预测时期</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丰水期□；平水期□；枯水期□；冰封期□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春季□；夏季□；秋季□；冬季□</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设计水文条件□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预测情景</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建设期□；生产运行期□；服务期满后□</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正常工况□；非正常工况□</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污染控制和减缓措施方案□</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区（流）域环境质量改善目标要求情景□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预测方法</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数值解□：解析解□；其他□</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导则推荐模式□：其他□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影响评价</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水污染控制和水环境影响减缓措施有效性评价</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区（流）域水环境质量改善目标□；替代削减源□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水环境影响评价</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排放口混合区外满足水环境管理要求□</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水环境功能区或水功能区、近岸海域环境功能区水质达标□</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满足水环境保护目标水域水环境质量要求□</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水环境控制单元或断面水质达标□</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满足重点水污染物排放总量控制指标要求，重点行业建设项目，主要污染物排放满足等量或减量替代要求□</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满足区（流）域水环境质量改善目标要求□</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水文要素影响型建设项目同时应包括水文情势变化评价、主要水文特征值影响评价、生态流量符合性评价□</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对于新设或调整入河（湖库、近岸海域）排放口的建设项目，应包括排放口设置的环境合理性评价□</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满足生态保护红线、水环境质量底线、资源利用上线和环境准入清单管理要求□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污染源排放量核算</w:t>
                  </w: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污染物名称</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排放量/（t/a）</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color w:val="000000" w:themeColor="text1"/>
                      <w:sz w:val="18"/>
                      <w:szCs w:val="18"/>
                      <w14:textFill>
                        <w14:solidFill>
                          <w14:schemeClr w14:val="tx1"/>
                        </w14:solidFill>
                      </w14:textFill>
                    </w:rPr>
                  </w:pPr>
                  <w:r>
                    <w:rPr>
                      <w:rFonts w:hint="eastAsia" w:hAnsi="黑体"/>
                      <w:color w:val="000000" w:themeColor="text1"/>
                      <w:sz w:val="18"/>
                      <w:szCs w:val="18"/>
                      <w14:textFill>
                        <w14:solidFill>
                          <w14:schemeClr w14:val="tx1"/>
                        </w14:solidFill>
                      </w14:textFill>
                    </w:rPr>
                    <w:t>（）</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color w:val="000000" w:themeColor="text1"/>
                      <w:sz w:val="18"/>
                      <w:szCs w:val="18"/>
                      <w14:textFill>
                        <w14:solidFill>
                          <w14:schemeClr w14:val="tx1"/>
                        </w14:solidFill>
                      </w14:textFill>
                    </w:rPr>
                  </w:pPr>
                  <w:r>
                    <w:rPr>
                      <w:rFonts w:hint="eastAsia" w:hAnsi="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替代源排放情况</w:t>
                  </w:r>
                </w:p>
              </w:tc>
              <w:tc>
                <w:tcPr>
                  <w:tcW w:w="670"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污染源名称</w:t>
                  </w:r>
                </w:p>
              </w:tc>
              <w:tc>
                <w:tcPr>
                  <w:tcW w:w="840"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排污许可证编号</w:t>
                  </w:r>
                </w:p>
              </w:tc>
              <w:tc>
                <w:tcPr>
                  <w:tcW w:w="61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污染物名称</w:t>
                  </w:r>
                </w:p>
              </w:tc>
              <w:tc>
                <w:tcPr>
                  <w:tcW w:w="83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排放量/（t/a）</w:t>
                  </w:r>
                </w:p>
              </w:tc>
              <w:tc>
                <w:tcPr>
                  <w:tcW w:w="958"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670"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c>
                <w:tcPr>
                  <w:tcW w:w="840"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c>
                <w:tcPr>
                  <w:tcW w:w="61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c>
                <w:tcPr>
                  <w:tcW w:w="83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c>
                <w:tcPr>
                  <w:tcW w:w="958"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生态流量确定</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生态流量：一般水期（）m</w:t>
                  </w:r>
                  <w:r>
                    <w:rPr>
                      <w:rFonts w:hint="eastAsia" w:ascii="黑体" w:hAnsi="黑体" w:cs="黑体"/>
                      <w:color w:val="000000" w:themeColor="text1"/>
                      <w:sz w:val="18"/>
                      <w:szCs w:val="18"/>
                      <w:vertAlign w:val="superscript"/>
                      <w14:textFill>
                        <w14:solidFill>
                          <w14:schemeClr w14:val="tx1"/>
                        </w14:solidFill>
                      </w14:textFill>
                    </w:rPr>
                    <w:t>3</w:t>
                  </w:r>
                  <w:r>
                    <w:rPr>
                      <w:rFonts w:hint="eastAsia" w:ascii="黑体" w:hAnsi="黑体" w:cs="黑体"/>
                      <w:color w:val="000000" w:themeColor="text1"/>
                      <w:sz w:val="18"/>
                      <w:szCs w:val="18"/>
                      <w14:textFill>
                        <w14:solidFill>
                          <w14:schemeClr w14:val="tx1"/>
                        </w14:solidFill>
                      </w14:textFill>
                    </w:rPr>
                    <w:t>/s；鱼类繁殖期（）m</w:t>
                  </w:r>
                  <w:r>
                    <w:rPr>
                      <w:rFonts w:hint="eastAsia" w:ascii="黑体" w:hAnsi="黑体" w:cs="黑体"/>
                      <w:color w:val="000000" w:themeColor="text1"/>
                      <w:sz w:val="18"/>
                      <w:szCs w:val="18"/>
                      <w:vertAlign w:val="superscript"/>
                      <w14:textFill>
                        <w14:solidFill>
                          <w14:schemeClr w14:val="tx1"/>
                        </w14:solidFill>
                      </w14:textFill>
                    </w:rPr>
                    <w:t>3</w:t>
                  </w:r>
                  <w:r>
                    <w:rPr>
                      <w:rFonts w:hint="eastAsia" w:ascii="黑体" w:hAnsi="黑体" w:cs="黑体"/>
                      <w:color w:val="000000" w:themeColor="text1"/>
                      <w:sz w:val="18"/>
                      <w:szCs w:val="18"/>
                      <w14:textFill>
                        <w14:solidFill>
                          <w14:schemeClr w14:val="tx1"/>
                        </w14:solidFill>
                      </w14:textFill>
                    </w:rPr>
                    <w:t>/s；其他m</w:t>
                  </w:r>
                  <w:r>
                    <w:rPr>
                      <w:rFonts w:hint="eastAsia" w:ascii="黑体" w:hAnsi="黑体" w:cs="黑体"/>
                      <w:color w:val="000000" w:themeColor="text1"/>
                      <w:sz w:val="18"/>
                      <w:szCs w:val="18"/>
                      <w:vertAlign w:val="superscript"/>
                      <w14:textFill>
                        <w14:solidFill>
                          <w14:schemeClr w14:val="tx1"/>
                        </w14:solidFill>
                      </w14:textFill>
                    </w:rPr>
                    <w:t>3</w:t>
                  </w:r>
                  <w:r>
                    <w:rPr>
                      <w:rFonts w:hint="eastAsia" w:ascii="黑体" w:hAnsi="黑体" w:cs="黑体"/>
                      <w:color w:val="000000" w:themeColor="text1"/>
                      <w:sz w:val="18"/>
                      <w:szCs w:val="18"/>
                      <w14:textFill>
                        <w14:solidFill>
                          <w14:schemeClr w14:val="tx1"/>
                        </w14:solidFill>
                      </w14:textFill>
                    </w:rPr>
                    <w:t>/s；</w:t>
                  </w:r>
                </w:p>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生态水位：一般水期（）m</w:t>
                  </w:r>
                  <w:r>
                    <w:rPr>
                      <w:rFonts w:hint="eastAsia" w:ascii="黑体" w:hAnsi="黑体" w:cs="黑体"/>
                      <w:color w:val="000000" w:themeColor="text1"/>
                      <w:sz w:val="18"/>
                      <w:szCs w:val="18"/>
                      <w:vertAlign w:val="superscript"/>
                      <w14:textFill>
                        <w14:solidFill>
                          <w14:schemeClr w14:val="tx1"/>
                        </w14:solidFill>
                      </w14:textFill>
                    </w:rPr>
                    <w:t>3</w:t>
                  </w:r>
                  <w:r>
                    <w:rPr>
                      <w:rFonts w:hint="eastAsia" w:ascii="黑体" w:hAnsi="黑体" w:cs="黑体"/>
                      <w:color w:val="000000" w:themeColor="text1"/>
                      <w:sz w:val="18"/>
                      <w:szCs w:val="18"/>
                      <w14:textFill>
                        <w14:solidFill>
                          <w14:schemeClr w14:val="tx1"/>
                        </w14:solidFill>
                      </w14:textFill>
                    </w:rPr>
                    <w:t>；鱼类繁殖期（）m；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防治措施</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环保措施</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污水处理设施□；水文减缓设施□；生态流量保障设施□；区域削减□；依托其他工程措施□；其他</w:t>
                  </w:r>
                  <w:r>
                    <w:rPr>
                      <w:rFonts w:hint="eastAsia" w:ascii="黑体" w:hAnsi="黑体" w:cs="黑体"/>
                      <w:color w:val="000000" w:themeColor="text1"/>
                      <w:sz w:val="18"/>
                      <w:szCs w:val="18"/>
                      <w14:textFill>
                        <w14:solidFill>
                          <w14:schemeClr w14:val="tx1"/>
                        </w14:solidFill>
                      </w14:textFill>
                    </w:rPr>
                    <w:fldChar w:fldCharType="begin"/>
                  </w:r>
                  <w:r>
                    <w:rPr>
                      <w:rFonts w:hint="eastAsia" w:ascii="黑体" w:hAnsi="黑体" w:cs="黑体"/>
                      <w:color w:val="000000" w:themeColor="text1"/>
                      <w:sz w:val="18"/>
                      <w:szCs w:val="18"/>
                      <w14:textFill>
                        <w14:solidFill>
                          <w14:schemeClr w14:val="tx1"/>
                        </w14:solidFill>
                      </w14:textFill>
                    </w:rPr>
                    <w:instrText xml:space="preserve"> eq \o\ac(□,√)</w:instrText>
                  </w:r>
                  <w:r>
                    <w:rPr>
                      <w:rFonts w:hint="eastAsia" w:ascii="黑体" w:hAnsi="黑体" w:cs="黑体"/>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监测计划</w:t>
                  </w: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环境质量</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监测方式</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手动□；自动□；无监测□</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手动□；自动□；无监测□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监测点位</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监测因子</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  ）</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hAnsi="黑体"/>
                      <w:color w:val="000000" w:themeColor="text1"/>
                      <w:sz w:val="18"/>
                      <w:szCs w:val="18"/>
                      <w14:textFill>
                        <w14:solidFill>
                          <w14:schemeClr w14:val="tx1"/>
                        </w14:solidFill>
                      </w14:textFill>
                    </w:rPr>
                    <w:t>（</w:t>
                  </w:r>
                  <w:r>
                    <w:rPr>
                      <w:rFonts w:hAnsi="黑体"/>
                      <w:color w:val="000000" w:themeColor="text1"/>
                      <w:sz w:val="18"/>
                      <w:szCs w:val="18"/>
                      <w14:textFill>
                        <w14:solidFill>
                          <w14:schemeClr w14:val="tx1"/>
                        </w14:solidFill>
                      </w14:textFill>
                    </w:rPr>
                    <w:t xml:space="preserve">   </w:t>
                  </w:r>
                  <w:r>
                    <w:rPr>
                      <w:rFonts w:hint="eastAsia" w:ascii="黑体" w:hAnsi="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污染物排放清单</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评价结论</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可以接受</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eq \o\ac(</w:instrText>
                  </w:r>
                  <w:r>
                    <w:rPr>
                      <w:rFonts w:hint="eastAsia"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int="eastAsia" w:ascii="宋体" w:hAnsi="宋体"/>
                      <w:color w:val="000000" w:themeColor="text1"/>
                      <w:position w:val="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instrText xml:space="preserve">)</w:instrText>
                  </w:r>
                  <w:r>
                    <w:rPr>
                      <w:rFonts w:hAnsi="宋体"/>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；不可以接受□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1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注：“□”为勾选项，可√；“（  ）</w:t>
                  </w:r>
                  <w:r>
                    <w:rPr>
                      <w:rFonts w:hint="eastAsia" w:ascii="宋体" w:hAnsi="宋体" w:cs="宋体"/>
                      <w:color w:val="000000" w:themeColor="text1"/>
                      <w:sz w:val="18"/>
                      <w:szCs w:val="18"/>
                      <w14:textFill>
                        <w14:solidFill>
                          <w14:schemeClr w14:val="tx1"/>
                        </w14:solidFill>
                      </w14:textFill>
                    </w:rPr>
                    <w:t>”为内容填写项；“备注”为其他补充内容。</w:t>
                  </w:r>
                </w:p>
              </w:tc>
            </w:tr>
          </w:tbl>
          <w:p>
            <w:pPr>
              <w:spacing w:line="480" w:lineRule="exact"/>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3、声环境影响分析</w:t>
            </w:r>
          </w:p>
          <w:p>
            <w:pPr>
              <w:snapToGrid w:val="0"/>
              <w:spacing w:line="48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（1）噪声声源及源强分析</w:t>
            </w:r>
          </w:p>
          <w:p>
            <w:pPr>
              <w:snapToGrid w:val="0"/>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本项目主要噪声设备为给料机、破碎机、压球机、搅拌机、皮带机、洒水车、装载车、风机等，</w:t>
            </w:r>
            <w:r>
              <w:rPr>
                <w:color w:val="000000" w:themeColor="text1"/>
                <w:sz w:val="24"/>
                <w14:textFill>
                  <w14:solidFill>
                    <w14:schemeClr w14:val="tx1"/>
                  </w14:solidFill>
                </w14:textFill>
              </w:rPr>
              <w:t>项目各设备的类比噪声值及安装位置见表</w:t>
            </w:r>
            <w:r>
              <w:rPr>
                <w:rFonts w:hint="eastAsia"/>
                <w:color w:val="000000" w:themeColor="text1"/>
                <w:sz w:val="24"/>
                <w14:textFill>
                  <w14:solidFill>
                    <w14:schemeClr w14:val="tx1"/>
                  </w14:solidFill>
                </w14:textFill>
              </w:rPr>
              <w:t>7-12</w:t>
            </w:r>
            <w:r>
              <w:rPr>
                <w:color w:val="000000" w:themeColor="text1"/>
                <w:sz w:val="24"/>
                <w14:textFill>
                  <w14:solidFill>
                    <w14:schemeClr w14:val="tx1"/>
                  </w14:solidFill>
                </w14:textFill>
              </w:rPr>
              <w:t>。</w:t>
            </w:r>
          </w:p>
          <w:p>
            <w:pPr>
              <w:spacing w:line="480" w:lineRule="exact"/>
              <w:jc w:val="center"/>
              <w:rPr>
                <w:b/>
                <w:bCs/>
                <w:color w:val="000000" w:themeColor="text1"/>
                <w:spacing w:val="4"/>
                <w:sz w:val="24"/>
                <w14:textFill>
                  <w14:solidFill>
                    <w14:schemeClr w14:val="tx1"/>
                  </w14:solidFill>
                </w14:textFill>
              </w:rPr>
            </w:pPr>
            <w:r>
              <w:rPr>
                <w:b/>
                <w:bCs/>
                <w:color w:val="000000" w:themeColor="text1"/>
                <w:spacing w:val="4"/>
                <w:sz w:val="24"/>
                <w14:textFill>
                  <w14:solidFill>
                    <w14:schemeClr w14:val="tx1"/>
                  </w14:solidFill>
                </w14:textFill>
              </w:rPr>
              <w:t>表</w:t>
            </w:r>
            <w:r>
              <w:rPr>
                <w:rFonts w:hint="eastAsia"/>
                <w:b/>
                <w:bCs/>
                <w:color w:val="000000" w:themeColor="text1"/>
                <w:spacing w:val="4"/>
                <w:sz w:val="24"/>
                <w14:textFill>
                  <w14:solidFill>
                    <w14:schemeClr w14:val="tx1"/>
                  </w14:solidFill>
                </w14:textFill>
              </w:rPr>
              <w:t>7-12</w:t>
            </w:r>
            <w:r>
              <w:rPr>
                <w:b/>
                <w:bCs/>
                <w:color w:val="000000" w:themeColor="text1"/>
                <w:spacing w:val="4"/>
                <w:sz w:val="24"/>
                <w14:textFill>
                  <w14:solidFill>
                    <w14:schemeClr w14:val="tx1"/>
                  </w14:solidFill>
                </w14:textFill>
              </w:rPr>
              <w:t xml:space="preserve"> </w:t>
            </w:r>
            <w:r>
              <w:rPr>
                <w:b/>
                <w:color w:val="000000" w:themeColor="text1"/>
                <w:sz w:val="24"/>
                <w14:textFill>
                  <w14:solidFill>
                    <w14:schemeClr w14:val="tx1"/>
                  </w14:solidFill>
                </w14:textFill>
              </w:rPr>
              <w:t>项目主要设备噪声统计表</w:t>
            </w:r>
          </w:p>
          <w:tbl>
            <w:tblPr>
              <w:tblStyle w:val="32"/>
              <w:tblW w:w="5000" w:type="pct"/>
              <w:jc w:val="center"/>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341"/>
              <w:gridCol w:w="1155"/>
              <w:gridCol w:w="1157"/>
              <w:gridCol w:w="3321"/>
              <w:gridCol w:w="1475"/>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720"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设备名称</w:t>
                  </w:r>
                </w:p>
              </w:tc>
              <w:tc>
                <w:tcPr>
                  <w:tcW w:w="62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声压级</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dB（A）</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处置措施</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降噪效果</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dB（A）</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341" w:type="dxa"/>
                  <w:tcBorders>
                    <w:tl2br w:val="nil"/>
                    <w:tr2bl w:val="nil"/>
                  </w:tcBorders>
                  <w:vAlign w:val="center"/>
                </w:tcPr>
                <w:p>
                  <w:pPr>
                    <w:pStyle w:val="43"/>
                    <w:pBdr>
                      <w:left w:val="none" w:color="auto" w:sz="0" w:space="0"/>
                      <w:right w:val="none" w:color="auto" w:sz="0" w:space="0"/>
                    </w:pBdr>
                    <w:spacing w:before="0" w:beforeAutospacing="0" w:after="0" w:afterAutospacing="0"/>
                    <w:textAlignment w:val="auto"/>
                    <w:rPr>
                      <w:color w:val="000000" w:themeColor="text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给料机</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80～90</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基础减振、隔声</w:t>
                  </w:r>
                  <w:r>
                    <w:rPr>
                      <w:rFonts w:hint="eastAsia"/>
                      <w:color w:val="000000" w:themeColor="text1"/>
                      <w:szCs w:val="21"/>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341" w:type="dxa"/>
                  <w:tcBorders>
                    <w:tl2br w:val="nil"/>
                    <w:tr2bl w:val="nil"/>
                  </w:tcBorders>
                  <w:vAlign w:val="center"/>
                </w:tcPr>
                <w:p>
                  <w:pPr>
                    <w:pStyle w:val="43"/>
                    <w:pBdr>
                      <w:left w:val="none" w:color="auto" w:sz="0" w:space="0"/>
                      <w:right w:val="none" w:color="auto" w:sz="0" w:space="0"/>
                    </w:pBdr>
                    <w:spacing w:before="0" w:beforeAutospacing="0" w:after="0" w:afterAutospacing="0"/>
                    <w:textAlignment w:val="auto"/>
                    <w:rPr>
                      <w:color w:val="000000" w:themeColor="text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干粉配料器</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75～85</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基础减振、隔声</w:t>
                  </w:r>
                  <w:r>
                    <w:rPr>
                      <w:rFonts w:hint="eastAsia"/>
                      <w:color w:val="000000" w:themeColor="text1"/>
                      <w:szCs w:val="21"/>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341" w:type="dxa"/>
                  <w:tcBorders>
                    <w:tl2br w:val="nil"/>
                    <w:tr2bl w:val="nil"/>
                  </w:tcBorders>
                  <w:vAlign w:val="center"/>
                </w:tcPr>
                <w:p>
                  <w:pPr>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破碎机</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90～100</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基础减振、隔声</w:t>
                  </w:r>
                  <w:r>
                    <w:rPr>
                      <w:rFonts w:hint="eastAsia"/>
                      <w:color w:val="000000" w:themeColor="text1"/>
                      <w:szCs w:val="21"/>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341"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双轴搅拌机</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85～95</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基础减振、隔声</w:t>
                  </w:r>
                  <w:r>
                    <w:rPr>
                      <w:rFonts w:hint="eastAsia"/>
                      <w:color w:val="000000" w:themeColor="text1"/>
                      <w:szCs w:val="21"/>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341"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压球机</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85～90</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基础减振、隔声</w:t>
                  </w:r>
                  <w:r>
                    <w:rPr>
                      <w:rFonts w:hint="eastAsia"/>
                      <w:color w:val="000000" w:themeColor="text1"/>
                      <w:szCs w:val="21"/>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41"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皮带机</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1条</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75～85</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基础减振、隔声</w:t>
                  </w:r>
                  <w:r>
                    <w:rPr>
                      <w:rFonts w:hint="eastAsia"/>
                      <w:color w:val="000000" w:themeColor="text1"/>
                      <w:szCs w:val="21"/>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341"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洒水车</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80～85</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减速、及时维修、减少鸣笛</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341"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装载车</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2辆</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80～90</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减速、及时维修、减少鸣笛</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72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风机</w:t>
                  </w:r>
                </w:p>
              </w:tc>
              <w:tc>
                <w:tcPr>
                  <w:tcW w:w="1155"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1台</w:t>
                  </w:r>
                </w:p>
              </w:tc>
              <w:tc>
                <w:tcPr>
                  <w:tcW w:w="62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85～95</w:t>
                  </w:r>
                </w:p>
              </w:tc>
              <w:tc>
                <w:tcPr>
                  <w:tcW w:w="178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基础减振、隔声</w:t>
                  </w:r>
                  <w:r>
                    <w:rPr>
                      <w:rFonts w:hint="eastAsia"/>
                      <w:color w:val="000000" w:themeColor="text1"/>
                      <w:szCs w:val="21"/>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bl>
          <w:p>
            <w:pPr>
              <w:spacing w:line="480" w:lineRule="exact"/>
              <w:ind w:firstLine="360" w:firstLineChars="15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Ansi="宋体"/>
                <w:color w:val="000000" w:themeColor="text1"/>
                <w:sz w:val="24"/>
                <w14:textFill>
                  <w14:solidFill>
                    <w14:schemeClr w14:val="tx1"/>
                  </w14:solidFill>
                </w14:textFill>
              </w:rPr>
              <w:t>）噪声预测</w:t>
            </w:r>
          </w:p>
          <w:p>
            <w:pPr>
              <w:adjustRightInd w:val="0"/>
              <w:snapToGrid w:val="0"/>
              <w:spacing w:line="480" w:lineRule="exact"/>
              <w:ind w:firstLine="496" w:firstLineChars="200"/>
              <w:rPr>
                <w:spacing w:val="4"/>
                <w:sz w:val="24"/>
              </w:rPr>
            </w:pPr>
            <w:r>
              <w:rPr>
                <w:spacing w:val="4"/>
                <w:sz w:val="24"/>
              </w:rPr>
              <w:t>预测模式采用《环境影响评价技术导则·声环境》（HJ2.4-2009）中推荐公式。</w:t>
            </w:r>
          </w:p>
          <w:p>
            <w:pPr>
              <w:adjustRightInd w:val="0"/>
              <w:snapToGrid w:val="0"/>
              <w:spacing w:line="480" w:lineRule="exact"/>
              <w:ind w:firstLine="496" w:firstLineChars="200"/>
              <w:rPr>
                <w:spacing w:val="4"/>
                <w:sz w:val="24"/>
              </w:rPr>
            </w:pPr>
            <w:r>
              <w:rPr>
                <w:spacing w:val="4"/>
                <w:sz w:val="24"/>
              </w:rPr>
              <w:t>各受声点考虑用A声级进行计算，预测模式为：</w:t>
            </w:r>
          </w:p>
          <w:p>
            <w:pPr>
              <w:adjustRightInd w:val="0"/>
              <w:snapToGrid w:val="0"/>
              <w:spacing w:line="480" w:lineRule="exact"/>
              <w:ind w:firstLine="496" w:firstLineChars="200"/>
              <w:rPr>
                <w:spacing w:val="4"/>
                <w:sz w:val="24"/>
              </w:rPr>
            </w:pPr>
            <w:r>
              <w:rPr>
                <w:spacing w:val="4"/>
                <w:sz w:val="24"/>
              </w:rPr>
              <w:t>LA（r）=Laref（r</w:t>
            </w:r>
            <w:r>
              <w:rPr>
                <w:spacing w:val="4"/>
                <w:sz w:val="24"/>
                <w:vertAlign w:val="subscript"/>
              </w:rPr>
              <w:t>0</w:t>
            </w:r>
            <w:r>
              <w:rPr>
                <w:spacing w:val="4"/>
                <w:sz w:val="24"/>
              </w:rPr>
              <w:t>）－（Adiv＋Abar＋Aatm＋Aexc）</w:t>
            </w:r>
          </w:p>
          <w:p>
            <w:pPr>
              <w:adjustRightInd w:val="0"/>
              <w:snapToGrid w:val="0"/>
              <w:spacing w:line="480" w:lineRule="exact"/>
              <w:ind w:firstLine="496" w:firstLineChars="200"/>
              <w:rPr>
                <w:spacing w:val="4"/>
                <w:sz w:val="24"/>
              </w:rPr>
            </w:pPr>
            <w:r>
              <w:rPr>
                <w:spacing w:val="4"/>
                <w:sz w:val="24"/>
              </w:rPr>
              <w:t>式中：LA（r）为距离r处的A声级，dB（A）；</w:t>
            </w:r>
          </w:p>
          <w:p>
            <w:pPr>
              <w:adjustRightInd w:val="0"/>
              <w:snapToGrid w:val="0"/>
              <w:spacing w:line="480" w:lineRule="exact"/>
              <w:ind w:firstLine="1240" w:firstLineChars="500"/>
              <w:rPr>
                <w:spacing w:val="4"/>
                <w:sz w:val="24"/>
              </w:rPr>
            </w:pPr>
            <w:r>
              <w:rPr>
                <w:spacing w:val="4"/>
                <w:sz w:val="24"/>
              </w:rPr>
              <w:t>Laref（r</w:t>
            </w:r>
            <w:r>
              <w:rPr>
                <w:spacing w:val="4"/>
                <w:sz w:val="24"/>
                <w:vertAlign w:val="subscript"/>
              </w:rPr>
              <w:t>0</w:t>
            </w:r>
            <w:r>
              <w:rPr>
                <w:spacing w:val="4"/>
                <w:sz w:val="24"/>
              </w:rPr>
              <w:t>）为参考位置r</w:t>
            </w:r>
            <w:r>
              <w:rPr>
                <w:spacing w:val="4"/>
                <w:sz w:val="24"/>
                <w:vertAlign w:val="subscript"/>
              </w:rPr>
              <w:t>0</w:t>
            </w:r>
            <w:r>
              <w:rPr>
                <w:spacing w:val="4"/>
                <w:sz w:val="24"/>
              </w:rPr>
              <w:t>处的A声级，dB（A）；</w:t>
            </w:r>
          </w:p>
          <w:p>
            <w:pPr>
              <w:adjustRightInd w:val="0"/>
              <w:snapToGrid w:val="0"/>
              <w:spacing w:line="480" w:lineRule="exact"/>
              <w:ind w:firstLine="1240" w:firstLineChars="500"/>
              <w:rPr>
                <w:spacing w:val="4"/>
                <w:sz w:val="24"/>
              </w:rPr>
            </w:pPr>
            <w:r>
              <w:rPr>
                <w:spacing w:val="4"/>
                <w:sz w:val="24"/>
              </w:rPr>
              <w:t>Adiv为声波几何发散引起的A声级衰减量，dB（A）；</w:t>
            </w:r>
          </w:p>
          <w:p>
            <w:pPr>
              <w:adjustRightInd w:val="0"/>
              <w:snapToGrid w:val="0"/>
              <w:spacing w:line="480" w:lineRule="exact"/>
              <w:ind w:firstLine="1240" w:firstLineChars="500"/>
              <w:rPr>
                <w:spacing w:val="4"/>
                <w:sz w:val="24"/>
              </w:rPr>
            </w:pPr>
            <w:r>
              <w:rPr>
                <w:spacing w:val="4"/>
                <w:sz w:val="24"/>
              </w:rPr>
              <w:t>Abar为声屏障引起的A声级衰减量，dB（A）；</w:t>
            </w:r>
          </w:p>
          <w:p>
            <w:pPr>
              <w:adjustRightInd w:val="0"/>
              <w:snapToGrid w:val="0"/>
              <w:spacing w:line="480" w:lineRule="exact"/>
              <w:ind w:firstLine="1240" w:firstLineChars="500"/>
              <w:rPr>
                <w:spacing w:val="4"/>
                <w:sz w:val="24"/>
              </w:rPr>
            </w:pPr>
            <w:r>
              <w:rPr>
                <w:spacing w:val="4"/>
                <w:sz w:val="24"/>
              </w:rPr>
              <w:t>Aatm为空气吸收引起的A声级衰减量，dB（A）；</w:t>
            </w:r>
          </w:p>
          <w:p>
            <w:pPr>
              <w:adjustRightInd w:val="0"/>
              <w:snapToGrid w:val="0"/>
              <w:spacing w:line="480" w:lineRule="exact"/>
              <w:ind w:firstLine="1240" w:firstLineChars="500"/>
              <w:rPr>
                <w:spacing w:val="4"/>
                <w:sz w:val="24"/>
              </w:rPr>
            </w:pPr>
            <w:r>
              <w:rPr>
                <w:spacing w:val="4"/>
                <w:sz w:val="24"/>
              </w:rPr>
              <w:t>Aexc为附加A声级衰减量，dB（A）；</w:t>
            </w:r>
          </w:p>
          <w:p>
            <w:pPr>
              <w:adjustRightInd w:val="0"/>
              <w:snapToGrid w:val="0"/>
              <w:spacing w:line="480" w:lineRule="exact"/>
              <w:ind w:firstLine="496" w:firstLineChars="200"/>
              <w:rPr>
                <w:spacing w:val="4"/>
                <w:sz w:val="24"/>
              </w:rPr>
            </w:pPr>
            <w:r>
              <w:rPr>
                <w:spacing w:val="4"/>
                <w:sz w:val="24"/>
              </w:rPr>
              <w:t>其中：Adiv＝20lg（r/r</w:t>
            </w:r>
            <w:r>
              <w:rPr>
                <w:spacing w:val="4"/>
                <w:sz w:val="24"/>
                <w:vertAlign w:val="subscript"/>
              </w:rPr>
              <w:t>0</w:t>
            </w:r>
            <w:r>
              <w:rPr>
                <w:spacing w:val="4"/>
                <w:sz w:val="24"/>
              </w:rPr>
              <w:t>）为点声源的几何发散衰减量，dB（A）；</w:t>
            </w:r>
          </w:p>
          <w:p>
            <w:pPr>
              <w:adjustRightInd w:val="0"/>
              <w:snapToGrid w:val="0"/>
              <w:spacing w:line="480" w:lineRule="exact"/>
              <w:ind w:firstLine="1240" w:firstLineChars="500"/>
              <w:rPr>
                <w:spacing w:val="4"/>
                <w:sz w:val="24"/>
              </w:rPr>
            </w:pPr>
            <w:r>
              <w:rPr>
                <w:spacing w:val="4"/>
                <w:sz w:val="24"/>
              </w:rPr>
              <w:t>Adiv＝10lg（r/r</w:t>
            </w:r>
            <w:r>
              <w:rPr>
                <w:spacing w:val="4"/>
                <w:sz w:val="24"/>
                <w:vertAlign w:val="subscript"/>
              </w:rPr>
              <w:t>0</w:t>
            </w:r>
            <w:r>
              <w:rPr>
                <w:spacing w:val="4"/>
                <w:sz w:val="24"/>
              </w:rPr>
              <w:t>）为线声源的几何发散衰减量，dB（A）；</w:t>
            </w:r>
          </w:p>
          <w:p>
            <w:pPr>
              <w:adjustRightInd w:val="0"/>
              <w:snapToGrid w:val="0"/>
              <w:spacing w:line="480" w:lineRule="exact"/>
              <w:ind w:firstLine="1240" w:firstLineChars="500"/>
              <w:rPr>
                <w:spacing w:val="4"/>
                <w:sz w:val="24"/>
              </w:rPr>
            </w:pPr>
            <w:r>
              <w:rPr>
                <w:spacing w:val="4"/>
                <w:sz w:val="24"/>
              </w:rPr>
              <w:t>Aatm＝a（r-r</w:t>
            </w:r>
            <w:r>
              <w:rPr>
                <w:spacing w:val="4"/>
                <w:sz w:val="24"/>
                <w:vertAlign w:val="subscript"/>
              </w:rPr>
              <w:t>0</w:t>
            </w:r>
            <w:r>
              <w:rPr>
                <w:spacing w:val="4"/>
                <w:sz w:val="24"/>
              </w:rPr>
              <w:t>）/100为空气吸收引起的 A 声级衰减量，dB（A）；</w:t>
            </w:r>
          </w:p>
          <w:p>
            <w:pPr>
              <w:adjustRightInd w:val="0"/>
              <w:snapToGrid w:val="0"/>
              <w:spacing w:line="480" w:lineRule="exact"/>
              <w:ind w:firstLine="496" w:firstLineChars="200"/>
              <w:rPr>
                <w:spacing w:val="4"/>
                <w:sz w:val="24"/>
              </w:rPr>
            </w:pPr>
            <w:r>
              <w:rPr>
                <w:spacing w:val="4"/>
                <w:sz w:val="24"/>
              </w:rPr>
              <w:t>实际计算中主要考虑厂区内各声源至受声点（预测点）的距离衰减，车间厂房的屏蔽作用及消音作用。各声源由于厂内外其它建筑物的屏蔽衰减，空气吸收引起的衰减以及由于云雾、温度梯度、风及地面效应等引起的衰减，根据具体情况取0dB（A）～15dB（A），距离近则取较小的值，距离远则取较大的值；无声屏障取较小值，有声屏障取较大值。</w:t>
            </w:r>
          </w:p>
          <w:p>
            <w:pPr>
              <w:adjustRightInd w:val="0"/>
              <w:snapToGrid w:val="0"/>
              <w:spacing w:line="500" w:lineRule="exact"/>
              <w:ind w:firstLine="420" w:firstLineChars="200"/>
              <w:rPr>
                <w:spacing w:val="4"/>
                <w:sz w:val="24"/>
              </w:rPr>
            </w:pPr>
            <w:r>
              <w:drawing>
                <wp:anchor distT="0" distB="0" distL="114300" distR="114300" simplePos="0" relativeHeight="251699200" behindDoc="0" locked="0" layoutInCell="1" allowOverlap="1">
                  <wp:simplePos x="0" y="0"/>
                  <wp:positionH relativeFrom="column">
                    <wp:posOffset>1866900</wp:posOffset>
                  </wp:positionH>
                  <wp:positionV relativeFrom="paragraph">
                    <wp:posOffset>27940</wp:posOffset>
                  </wp:positionV>
                  <wp:extent cx="1828800" cy="384810"/>
                  <wp:effectExtent l="0" t="0" r="0" b="15240"/>
                  <wp:wrapNone/>
                  <wp:docPr id="8" name="图片 1145" descr="1569577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45" descr="1569577675(1)"/>
                          <pic:cNvPicPr>
                            <a:picLocks noChangeAspect="1"/>
                          </pic:cNvPicPr>
                        </pic:nvPicPr>
                        <pic:blipFill>
                          <a:blip r:embed="rId23"/>
                          <a:stretch>
                            <a:fillRect/>
                          </a:stretch>
                        </pic:blipFill>
                        <pic:spPr>
                          <a:xfrm>
                            <a:off x="0" y="0"/>
                            <a:ext cx="1828800" cy="384810"/>
                          </a:xfrm>
                          <a:prstGeom prst="rect">
                            <a:avLst/>
                          </a:prstGeom>
                          <a:noFill/>
                          <a:ln>
                            <a:noFill/>
                          </a:ln>
                        </pic:spPr>
                      </pic:pic>
                    </a:graphicData>
                  </a:graphic>
                </wp:anchor>
              </w:drawing>
            </w:r>
          </w:p>
          <w:p>
            <w:pPr>
              <w:adjustRightInd w:val="0"/>
              <w:snapToGrid w:val="0"/>
              <w:spacing w:line="480" w:lineRule="exact"/>
              <w:ind w:firstLine="496" w:firstLineChars="200"/>
              <w:rPr>
                <w:spacing w:val="4"/>
                <w:sz w:val="24"/>
              </w:rPr>
            </w:pPr>
            <w:r>
              <w:rPr>
                <w:spacing w:val="4"/>
                <w:sz w:val="24"/>
              </w:rPr>
              <w:t>各测点声压级计算公式：</w:t>
            </w:r>
          </w:p>
          <w:p>
            <w:pPr>
              <w:adjustRightInd w:val="0"/>
              <w:snapToGrid w:val="0"/>
              <w:spacing w:line="480" w:lineRule="exact"/>
              <w:ind w:firstLine="496" w:firstLineChars="200"/>
              <w:rPr>
                <w:spacing w:val="4"/>
                <w:sz w:val="24"/>
              </w:rPr>
            </w:pPr>
            <w:r>
              <w:rPr>
                <w:spacing w:val="4"/>
                <w:sz w:val="24"/>
              </w:rPr>
              <w:t>式中：L总——预测点总的A声级，dB（A）；</w:t>
            </w:r>
          </w:p>
          <w:p>
            <w:pPr>
              <w:adjustRightInd w:val="0"/>
              <w:snapToGrid w:val="0"/>
              <w:spacing w:line="480" w:lineRule="exact"/>
              <w:ind w:firstLine="1240" w:firstLineChars="500"/>
              <w:rPr>
                <w:spacing w:val="4"/>
                <w:sz w:val="24"/>
              </w:rPr>
            </w:pPr>
            <w:r>
              <w:rPr>
                <w:spacing w:val="4"/>
                <w:sz w:val="24"/>
              </w:rPr>
              <w:t>Li——第i个声源到预测点处的声压级，dB（A）；</w:t>
            </w:r>
          </w:p>
          <w:p>
            <w:pPr>
              <w:adjustRightInd w:val="0"/>
              <w:snapToGrid w:val="0"/>
              <w:spacing w:line="480" w:lineRule="exact"/>
              <w:ind w:firstLine="1240" w:firstLineChars="500"/>
              <w:rPr>
                <w:spacing w:val="4"/>
                <w:sz w:val="24"/>
              </w:rPr>
            </w:pPr>
            <w:r>
              <w:rPr>
                <w:spacing w:val="4"/>
                <w:sz w:val="24"/>
              </w:rPr>
              <w:t>Lb——环境噪声本底值，dB（A）；</w:t>
            </w:r>
          </w:p>
          <w:p>
            <w:pPr>
              <w:adjustRightInd w:val="0"/>
              <w:snapToGrid w:val="0"/>
              <w:spacing w:line="480" w:lineRule="exact"/>
              <w:ind w:firstLine="1240" w:firstLineChars="500"/>
              <w:rPr>
                <w:color w:val="000000"/>
                <w:sz w:val="24"/>
              </w:rPr>
            </w:pPr>
            <w:r>
              <w:rPr>
                <w:spacing w:val="4"/>
                <w:sz w:val="24"/>
              </w:rPr>
              <w:t>n——声源个数。</w:t>
            </w:r>
          </w:p>
          <w:p>
            <w:pPr>
              <w:spacing w:line="480" w:lineRule="exact"/>
              <w:ind w:firstLine="470" w:firstLineChars="196"/>
              <w:rPr>
                <w:color w:val="000000" w:themeColor="text1"/>
                <w14:textFill>
                  <w14:solidFill>
                    <w14:schemeClr w14:val="tx1"/>
                  </w14:solidFill>
                </w14:textFill>
              </w:rPr>
            </w:pPr>
            <w:r>
              <w:rPr>
                <w:sz w:val="24"/>
              </w:rPr>
              <w:t>利用预测模式计算出各设备噪声影响值。本项目为新建项目，以工程噪声贡献值作为评价量</w:t>
            </w:r>
            <w:r>
              <w:rPr>
                <w:rFonts w:hint="eastAsia"/>
                <w:color w:val="000000"/>
                <w:sz w:val="24"/>
              </w:rPr>
              <w:t>。</w:t>
            </w:r>
          </w:p>
          <w:p>
            <w:pPr>
              <w:spacing w:line="480" w:lineRule="exact"/>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噪声预测结果与评价</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本项目夜间不生产，因此仅预测噪声源对各预测点昼间的影响预测结果见下表。</w:t>
            </w:r>
          </w:p>
          <w:p>
            <w:pPr>
              <w:spacing w:line="480" w:lineRule="exact"/>
              <w:jc w:val="center"/>
              <w:rPr>
                <w:b/>
                <w:bCs/>
                <w:color w:val="000000" w:themeColor="text1"/>
                <w:spacing w:val="4"/>
                <w:sz w:val="24"/>
                <w14:textFill>
                  <w14:solidFill>
                    <w14:schemeClr w14:val="tx1"/>
                  </w14:solidFill>
                </w14:textFill>
              </w:rPr>
            </w:pPr>
            <w:r>
              <w:rPr>
                <w:b/>
                <w:bCs/>
                <w:color w:val="000000" w:themeColor="text1"/>
                <w:spacing w:val="4"/>
                <w:sz w:val="24"/>
                <w14:textFill>
                  <w14:solidFill>
                    <w14:schemeClr w14:val="tx1"/>
                  </w14:solidFill>
                </w14:textFill>
              </w:rPr>
              <w:t>表</w:t>
            </w:r>
            <w:r>
              <w:rPr>
                <w:rFonts w:hint="eastAsia"/>
                <w:b/>
                <w:bCs/>
                <w:color w:val="000000" w:themeColor="text1"/>
                <w:spacing w:val="4"/>
                <w:sz w:val="24"/>
                <w14:textFill>
                  <w14:solidFill>
                    <w14:schemeClr w14:val="tx1"/>
                  </w14:solidFill>
                </w14:textFill>
              </w:rPr>
              <w:t>7-13</w:t>
            </w:r>
            <w:r>
              <w:rPr>
                <w:b/>
                <w:bCs/>
                <w:color w:val="000000" w:themeColor="text1"/>
                <w:spacing w:val="4"/>
                <w:sz w:val="24"/>
                <w14:textFill>
                  <w14:solidFill>
                    <w14:schemeClr w14:val="tx1"/>
                  </w14:solidFill>
                </w14:textFill>
              </w:rPr>
              <w:t xml:space="preserve"> 运营期厂界噪声预测值（单位：dB（A））</w:t>
            </w:r>
          </w:p>
          <w:tbl>
            <w:tblPr>
              <w:tblStyle w:val="32"/>
              <w:tblW w:w="4997"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860"/>
              <w:gridCol w:w="1860"/>
              <w:gridCol w:w="1860"/>
              <w:gridCol w:w="1860"/>
              <w:gridCol w:w="1863"/>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编号</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点位</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贡献值dB(A)</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标准值dB(A)</w:t>
                  </w: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是否超标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1#</w:t>
                  </w:r>
                </w:p>
              </w:tc>
              <w:tc>
                <w:tcPr>
                  <w:tcW w:w="999" w:type="pc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场界（东）</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hint="eastAsia" w:ascii="Times New Roman"/>
                      <w:bCs/>
                      <w:color w:val="000000" w:themeColor="text1"/>
                      <w:kern w:val="10"/>
                      <w:sz w:val="21"/>
                      <w:szCs w:val="21"/>
                      <w14:textFill>
                        <w14:solidFill>
                          <w14:schemeClr w14:val="tx1"/>
                        </w14:solidFill>
                      </w14:textFill>
                    </w:rPr>
                    <w:t>40.25</w:t>
                  </w:r>
                </w:p>
              </w:tc>
              <w:tc>
                <w:tcPr>
                  <w:tcW w:w="999" w:type="pct"/>
                  <w:vMerge w:val="restar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昼间：</w:t>
                  </w:r>
                  <w:r>
                    <w:rPr>
                      <w:rFonts w:hint="eastAsia"/>
                      <w:color w:val="000000" w:themeColor="text1"/>
                      <w:kern w:val="10"/>
                      <w:szCs w:val="21"/>
                      <w14:textFill>
                        <w14:solidFill>
                          <w14:schemeClr w14:val="tx1"/>
                        </w14:solidFill>
                      </w14:textFill>
                    </w:rPr>
                    <w:t>60</w:t>
                  </w:r>
                </w:p>
                <w:p>
                  <w:pPr>
                    <w:widowControl/>
                    <w:adjustRightInd w:val="0"/>
                    <w:snapToGrid w:val="0"/>
                    <w:jc w:val="center"/>
                    <w:rPr>
                      <w:color w:val="000000" w:themeColor="text1"/>
                      <w14:textFill>
                        <w14:solidFill>
                          <w14:schemeClr w14:val="tx1"/>
                        </w14:solidFill>
                      </w14:textFill>
                    </w:rPr>
                  </w:pPr>
                  <w:r>
                    <w:rPr>
                      <w:rFonts w:hint="eastAsia"/>
                      <w:color w:val="000000" w:themeColor="text1"/>
                      <w:kern w:val="10"/>
                      <w:szCs w:val="21"/>
                      <w14:textFill>
                        <w14:solidFill>
                          <w14:schemeClr w14:val="tx1"/>
                        </w14:solidFill>
                      </w14:textFill>
                    </w:rPr>
                    <w:t>夜</w:t>
                  </w:r>
                  <w:r>
                    <w:rPr>
                      <w:color w:val="000000" w:themeColor="text1"/>
                      <w:kern w:val="10"/>
                      <w:szCs w:val="21"/>
                      <w14:textFill>
                        <w14:solidFill>
                          <w14:schemeClr w14:val="tx1"/>
                        </w14:solidFill>
                      </w14:textFill>
                    </w:rPr>
                    <w:t>间：</w:t>
                  </w:r>
                  <w:r>
                    <w:rPr>
                      <w:rFonts w:hint="eastAsia"/>
                      <w:color w:val="000000" w:themeColor="text1"/>
                      <w:kern w:val="10"/>
                      <w:szCs w:val="21"/>
                      <w14:textFill>
                        <w14:solidFill>
                          <w14:schemeClr w14:val="tx1"/>
                        </w14:solidFill>
                      </w14:textFill>
                    </w:rPr>
                    <w:t>50</w:t>
                  </w: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否</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2#</w:t>
                  </w:r>
                </w:p>
              </w:tc>
              <w:tc>
                <w:tcPr>
                  <w:tcW w:w="999" w:type="pc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场界（南）</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hint="eastAsia" w:ascii="Times New Roman"/>
                      <w:bCs/>
                      <w:color w:val="000000" w:themeColor="text1"/>
                      <w:kern w:val="10"/>
                      <w:sz w:val="21"/>
                      <w:szCs w:val="21"/>
                      <w14:textFill>
                        <w14:solidFill>
                          <w14:schemeClr w14:val="tx1"/>
                        </w14:solidFill>
                      </w14:textFill>
                    </w:rPr>
                    <w:t>40</w:t>
                  </w:r>
                  <w:r>
                    <w:rPr>
                      <w:rFonts w:ascii="Times New Roman"/>
                      <w:bCs/>
                      <w:color w:val="000000" w:themeColor="text1"/>
                      <w:kern w:val="10"/>
                      <w:sz w:val="21"/>
                      <w:szCs w:val="21"/>
                      <w14:textFill>
                        <w14:solidFill>
                          <w14:schemeClr w14:val="tx1"/>
                        </w14:solidFill>
                      </w14:textFill>
                    </w:rPr>
                    <w:t>.</w:t>
                  </w:r>
                  <w:r>
                    <w:rPr>
                      <w:rFonts w:hint="eastAsia" w:ascii="Times New Roman"/>
                      <w:bCs/>
                      <w:color w:val="000000" w:themeColor="text1"/>
                      <w:kern w:val="10"/>
                      <w:sz w:val="21"/>
                      <w:szCs w:val="21"/>
                      <w14:textFill>
                        <w14:solidFill>
                          <w14:schemeClr w14:val="tx1"/>
                        </w14:solidFill>
                      </w14:textFill>
                    </w:rPr>
                    <w:t>63</w:t>
                  </w:r>
                </w:p>
              </w:tc>
              <w:tc>
                <w:tcPr>
                  <w:tcW w:w="999" w:type="pct"/>
                  <w:vMerge w:val="continue"/>
                  <w:tcBorders>
                    <w:tl2br w:val="nil"/>
                    <w:tr2bl w:val="nil"/>
                  </w:tcBorders>
                  <w:vAlign w:val="center"/>
                </w:tcPr>
                <w:p>
                  <w:pPr>
                    <w:widowControl/>
                    <w:jc w:val="left"/>
                    <w:rPr>
                      <w:bCs/>
                      <w:color w:val="000000" w:themeColor="text1"/>
                      <w:kern w:val="10"/>
                      <w:szCs w:val="21"/>
                      <w14:textFill>
                        <w14:solidFill>
                          <w14:schemeClr w14:val="tx1"/>
                        </w14:solidFill>
                      </w14:textFill>
                    </w:rPr>
                  </w:pP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否</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3#</w:t>
                  </w:r>
                </w:p>
              </w:tc>
              <w:tc>
                <w:tcPr>
                  <w:tcW w:w="999" w:type="pc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场界（西）</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hint="eastAsia" w:ascii="Times New Roman"/>
                      <w:bCs/>
                      <w:color w:val="000000" w:themeColor="text1"/>
                      <w:kern w:val="10"/>
                      <w:sz w:val="21"/>
                      <w:szCs w:val="21"/>
                      <w14:textFill>
                        <w14:solidFill>
                          <w14:schemeClr w14:val="tx1"/>
                        </w14:solidFill>
                      </w14:textFill>
                    </w:rPr>
                    <w:t>41</w:t>
                  </w:r>
                  <w:r>
                    <w:rPr>
                      <w:rFonts w:ascii="Times New Roman"/>
                      <w:bCs/>
                      <w:color w:val="000000" w:themeColor="text1"/>
                      <w:kern w:val="10"/>
                      <w:sz w:val="21"/>
                      <w:szCs w:val="21"/>
                      <w14:textFill>
                        <w14:solidFill>
                          <w14:schemeClr w14:val="tx1"/>
                        </w14:solidFill>
                      </w14:textFill>
                    </w:rPr>
                    <w:t>.</w:t>
                  </w:r>
                  <w:r>
                    <w:rPr>
                      <w:rFonts w:hint="eastAsia" w:ascii="Times New Roman"/>
                      <w:bCs/>
                      <w:color w:val="000000" w:themeColor="text1"/>
                      <w:kern w:val="10"/>
                      <w:sz w:val="21"/>
                      <w:szCs w:val="21"/>
                      <w14:textFill>
                        <w14:solidFill>
                          <w14:schemeClr w14:val="tx1"/>
                        </w14:solidFill>
                      </w14:textFill>
                    </w:rPr>
                    <w:t>15</w:t>
                  </w:r>
                </w:p>
              </w:tc>
              <w:tc>
                <w:tcPr>
                  <w:tcW w:w="999" w:type="pct"/>
                  <w:vMerge w:val="continue"/>
                  <w:tcBorders>
                    <w:tl2br w:val="nil"/>
                    <w:tr2bl w:val="nil"/>
                  </w:tcBorders>
                  <w:vAlign w:val="center"/>
                </w:tcPr>
                <w:p>
                  <w:pPr>
                    <w:widowControl/>
                    <w:jc w:val="left"/>
                    <w:rPr>
                      <w:bCs/>
                      <w:color w:val="000000" w:themeColor="text1"/>
                      <w:kern w:val="10"/>
                      <w:szCs w:val="21"/>
                      <w14:textFill>
                        <w14:solidFill>
                          <w14:schemeClr w14:val="tx1"/>
                        </w14:solidFill>
                      </w14:textFill>
                    </w:rPr>
                  </w:pP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否</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4#</w:t>
                  </w:r>
                </w:p>
              </w:tc>
              <w:tc>
                <w:tcPr>
                  <w:tcW w:w="999" w:type="pct"/>
                  <w:tcBorders>
                    <w:tl2br w:val="nil"/>
                    <w:tr2bl w:val="nil"/>
                  </w:tcBorders>
                  <w:vAlign w:val="center"/>
                </w:tcPr>
                <w:p>
                  <w:pPr>
                    <w:widowControl/>
                    <w:adjustRightInd w:val="0"/>
                    <w:snapToGrid w:val="0"/>
                    <w:jc w:val="center"/>
                    <w:rPr>
                      <w:color w:val="000000" w:themeColor="text1"/>
                      <w:kern w:val="10"/>
                      <w:szCs w:val="21"/>
                      <w14:textFill>
                        <w14:solidFill>
                          <w14:schemeClr w14:val="tx1"/>
                        </w14:solidFill>
                      </w14:textFill>
                    </w:rPr>
                  </w:pPr>
                  <w:r>
                    <w:rPr>
                      <w:color w:val="000000" w:themeColor="text1"/>
                      <w:kern w:val="10"/>
                      <w:szCs w:val="21"/>
                      <w14:textFill>
                        <w14:solidFill>
                          <w14:schemeClr w14:val="tx1"/>
                        </w14:solidFill>
                      </w14:textFill>
                    </w:rPr>
                    <w:t>场界（北）</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hint="eastAsia" w:ascii="Times New Roman"/>
                      <w:bCs/>
                      <w:color w:val="000000" w:themeColor="text1"/>
                      <w:kern w:val="10"/>
                      <w:sz w:val="21"/>
                      <w:szCs w:val="21"/>
                      <w14:textFill>
                        <w14:solidFill>
                          <w14:schemeClr w14:val="tx1"/>
                        </w14:solidFill>
                      </w14:textFill>
                    </w:rPr>
                    <w:t>42.45</w:t>
                  </w:r>
                </w:p>
              </w:tc>
              <w:tc>
                <w:tcPr>
                  <w:tcW w:w="999" w:type="pct"/>
                  <w:vMerge w:val="continue"/>
                  <w:tcBorders>
                    <w:tl2br w:val="nil"/>
                    <w:tr2bl w:val="nil"/>
                  </w:tcBorders>
                  <w:vAlign w:val="center"/>
                </w:tcPr>
                <w:p>
                  <w:pPr>
                    <w:widowControl/>
                    <w:jc w:val="left"/>
                    <w:rPr>
                      <w:bCs/>
                      <w:color w:val="000000" w:themeColor="text1"/>
                      <w:kern w:val="10"/>
                      <w:szCs w:val="21"/>
                      <w14:textFill>
                        <w14:solidFill>
                          <w14:schemeClr w14:val="tx1"/>
                        </w14:solidFill>
                      </w14:textFill>
                    </w:rPr>
                  </w:pP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14:textFill>
                        <w14:solidFill>
                          <w14:schemeClr w14:val="tx1"/>
                        </w14:solidFill>
                      </w14:textFill>
                    </w:rPr>
                  </w:pPr>
                  <w:r>
                    <w:rPr>
                      <w:rFonts w:ascii="Times New Roman"/>
                      <w:bCs/>
                      <w:color w:val="000000" w:themeColor="text1"/>
                      <w:kern w:val="10"/>
                      <w:sz w:val="21"/>
                      <w:szCs w:val="21"/>
                      <w14:textFill>
                        <w14:solidFill>
                          <w14:schemeClr w14:val="tx1"/>
                        </w14:solidFill>
                      </w14:textFill>
                    </w:rPr>
                    <w:t>否</w:t>
                  </w:r>
                </w:p>
              </w:tc>
            </w:tr>
          </w:tbl>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由表</w:t>
            </w:r>
            <w:r>
              <w:rPr>
                <w:rFonts w:hint="eastAsia"/>
                <w:color w:val="000000" w:themeColor="text1"/>
                <w:sz w:val="24"/>
                <w14:textFill>
                  <w14:solidFill>
                    <w14:schemeClr w14:val="tx1"/>
                  </w14:solidFill>
                </w14:textFill>
              </w:rPr>
              <w:t>7-13</w:t>
            </w:r>
            <w:r>
              <w:rPr>
                <w:color w:val="000000" w:themeColor="text1"/>
                <w:sz w:val="24"/>
                <w14:textFill>
                  <w14:solidFill>
                    <w14:schemeClr w14:val="tx1"/>
                  </w14:solidFill>
                </w14:textFill>
              </w:rPr>
              <w:t>预测结果可以看出，所有厂界昼</w:t>
            </w:r>
            <w:r>
              <w:rPr>
                <w:rFonts w:hint="eastAsia"/>
                <w:color w:val="000000" w:themeColor="text1"/>
                <w:kern w:val="10"/>
                <w:sz w:val="24"/>
                <w14:textFill>
                  <w14:solidFill>
                    <w14:schemeClr w14:val="tx1"/>
                  </w14:solidFill>
                </w14:textFill>
              </w:rPr>
              <w:t>夜</w:t>
            </w:r>
            <w:r>
              <w:rPr>
                <w:color w:val="000000" w:themeColor="text1"/>
                <w:sz w:val="24"/>
                <w14:textFill>
                  <w14:solidFill>
                    <w14:schemeClr w14:val="tx1"/>
                  </w14:solidFill>
                </w14:textFill>
              </w:rPr>
              <w:t>间贡献值均达到《工业企业厂界环境噪声排放标准》（GB12348-2008）中2类标准要求，</w:t>
            </w:r>
            <w:r>
              <w:rPr>
                <w:rFonts w:hint="eastAsia"/>
                <w:color w:val="000000" w:themeColor="text1"/>
                <w:sz w:val="24"/>
                <w14:textFill>
                  <w14:solidFill>
                    <w14:schemeClr w14:val="tx1"/>
                  </w14:solidFill>
                </w14:textFill>
              </w:rPr>
              <w:t>对</w:t>
            </w:r>
            <w:r>
              <w:rPr>
                <w:color w:val="000000" w:themeColor="text1"/>
                <w:sz w:val="24"/>
                <w14:textFill>
                  <w14:solidFill>
                    <w14:schemeClr w14:val="tx1"/>
                  </w14:solidFill>
                </w14:textFill>
              </w:rPr>
              <w:t>周边声环境造成影响较小。</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为减轻噪声污染，评价要求建设单位采取以下减噪措施：</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w:t>
            </w:r>
            <w:r>
              <w:rPr>
                <w:color w:val="000000" w:themeColor="text1"/>
                <w:sz w:val="24"/>
                <w14:textFill>
                  <w14:solidFill>
                    <w14:schemeClr w14:val="tx1"/>
                  </w14:solidFill>
                </w14:textFill>
              </w:rPr>
              <w:t>在设备选型方面应</w:t>
            </w:r>
            <w:r>
              <w:rPr>
                <w:rFonts w:hint="eastAsia"/>
                <w:color w:val="000000" w:themeColor="text1"/>
                <w:sz w:val="24"/>
                <w14:textFill>
                  <w14:solidFill>
                    <w14:schemeClr w14:val="tx1"/>
                  </w14:solidFill>
                </w14:textFill>
              </w:rPr>
              <w:t>优先</w:t>
            </w:r>
            <w:r>
              <w:rPr>
                <w:color w:val="000000" w:themeColor="text1"/>
                <w:sz w:val="24"/>
                <w14:textFill>
                  <w14:solidFill>
                    <w14:schemeClr w14:val="tx1"/>
                  </w14:solidFill>
                </w14:textFill>
              </w:rPr>
              <w:t>选用低噪声设备；</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②在产噪设备安装连接时，采用了合理的连接方式。如风机进出口采用软连接等。</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w:t>
            </w:r>
            <w:r>
              <w:rPr>
                <w:color w:val="000000" w:themeColor="text1"/>
                <w:sz w:val="24"/>
                <w14:textFill>
                  <w14:solidFill>
                    <w14:schemeClr w14:val="tx1"/>
                  </w14:solidFill>
                </w14:textFill>
              </w:rPr>
              <w:t>对于破碎机等噪声较大的设备，采取建封闭间和减振、隔声等措施处理。</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④</w:t>
            </w:r>
            <w:r>
              <w:rPr>
                <w:color w:val="000000" w:themeColor="text1"/>
                <w:sz w:val="24"/>
                <w14:textFill>
                  <w14:solidFill>
                    <w14:schemeClr w14:val="tx1"/>
                  </w14:solidFill>
                </w14:textFill>
              </w:rPr>
              <w:t>对振动较大的设备，基础采取相应的减振措施。</w:t>
            </w:r>
          </w:p>
          <w:p>
            <w:pPr>
              <w:spacing w:line="480" w:lineRule="exact"/>
              <w:ind w:firstLine="496"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⑤</w:t>
            </w:r>
            <w:r>
              <w:rPr>
                <w:color w:val="000000" w:themeColor="text1"/>
                <w:spacing w:val="4"/>
                <w:sz w:val="24"/>
                <w14:textFill>
                  <w14:solidFill>
                    <w14:schemeClr w14:val="tx1"/>
                  </w14:solidFill>
                </w14:textFill>
              </w:rPr>
              <w:t>对各类风机等产生气流的噪声设备，可以采取减振、消声等措施。</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⑥</w:t>
            </w:r>
            <w:r>
              <w:rPr>
                <w:color w:val="000000" w:themeColor="text1"/>
                <w:sz w:val="24"/>
                <w14:textFill>
                  <w14:solidFill>
                    <w14:schemeClr w14:val="tx1"/>
                  </w14:solidFill>
                </w14:textFill>
              </w:rPr>
              <w:t>总图布置中尽可能利用建筑物及绿化植物对噪声的屏敝、衰减及吸收作用。</w:t>
            </w:r>
          </w:p>
          <w:p>
            <w:pPr>
              <w:pStyle w:val="92"/>
              <w:spacing w:beforeLines="0" w:afterLines="0" w:line="480" w:lineRule="exact"/>
              <w:rPr>
                <w:rFonts w:hAnsi="宋体"/>
                <w:color w:val="000000" w:themeColor="text1"/>
                <w:kern w:val="2"/>
                <w14:textFill>
                  <w14:solidFill>
                    <w14:schemeClr w14:val="tx1"/>
                  </w14:solidFill>
                </w14:textFill>
              </w:rPr>
            </w:pPr>
            <w:r>
              <w:rPr>
                <w:rFonts w:hint="eastAsia" w:hAnsi="宋体"/>
                <w:color w:val="000000" w:themeColor="text1"/>
                <w:kern w:val="2"/>
                <w14:textFill>
                  <w14:solidFill>
                    <w14:schemeClr w14:val="tx1"/>
                  </w14:solidFill>
                </w14:textFill>
              </w:rPr>
              <w:t>噪声源经距离衰减及隔声措施后，各厂界噪声排放能达到</w:t>
            </w:r>
            <w:r>
              <w:rPr>
                <w:rFonts w:hAnsi="宋体"/>
                <w:color w:val="000000" w:themeColor="text1"/>
                <w:kern w:val="2"/>
                <w14:textFill>
                  <w14:solidFill>
                    <w14:schemeClr w14:val="tx1"/>
                  </w14:solidFill>
                </w14:textFill>
              </w:rPr>
              <w:t>《工业企业厂界</w:t>
            </w:r>
            <w:r>
              <w:rPr>
                <w:rFonts w:hint="eastAsia" w:hAnsi="宋体"/>
                <w:color w:val="000000" w:themeColor="text1"/>
                <w:kern w:val="2"/>
                <w14:textFill>
                  <w14:solidFill>
                    <w14:schemeClr w14:val="tx1"/>
                  </w14:solidFill>
                </w14:textFill>
              </w:rPr>
              <w:t>环境</w:t>
            </w:r>
            <w:r>
              <w:rPr>
                <w:rFonts w:hAnsi="宋体"/>
                <w:color w:val="000000" w:themeColor="text1"/>
                <w:kern w:val="2"/>
                <w14:textFill>
                  <w14:solidFill>
                    <w14:schemeClr w14:val="tx1"/>
                  </w14:solidFill>
                </w14:textFill>
              </w:rPr>
              <w:t>噪声</w:t>
            </w:r>
            <w:r>
              <w:rPr>
                <w:rFonts w:hint="eastAsia" w:hAnsi="宋体"/>
                <w:color w:val="000000" w:themeColor="text1"/>
                <w:kern w:val="2"/>
                <w14:textFill>
                  <w14:solidFill>
                    <w14:schemeClr w14:val="tx1"/>
                  </w14:solidFill>
                </w14:textFill>
              </w:rPr>
              <w:t>排放</w:t>
            </w:r>
            <w:r>
              <w:rPr>
                <w:rFonts w:hAnsi="宋体"/>
                <w:color w:val="000000" w:themeColor="text1"/>
                <w:kern w:val="2"/>
                <w14:textFill>
                  <w14:solidFill>
                    <w14:schemeClr w14:val="tx1"/>
                  </w14:solidFill>
                </w14:textFill>
              </w:rPr>
              <w:t>标准》（GB12348-</w:t>
            </w:r>
            <w:r>
              <w:rPr>
                <w:rFonts w:hint="eastAsia" w:hAnsi="宋体"/>
                <w:color w:val="000000" w:themeColor="text1"/>
                <w:kern w:val="2"/>
                <w14:textFill>
                  <w14:solidFill>
                    <w14:schemeClr w14:val="tx1"/>
                  </w14:solidFill>
                </w14:textFill>
              </w:rPr>
              <w:t>2008</w:t>
            </w:r>
            <w:r>
              <w:rPr>
                <w:rFonts w:hAnsi="宋体"/>
                <w:color w:val="000000" w:themeColor="text1"/>
                <w:kern w:val="2"/>
                <w14:textFill>
                  <w14:solidFill>
                    <w14:schemeClr w14:val="tx1"/>
                  </w14:solidFill>
                </w14:textFill>
              </w:rPr>
              <w:t>）中</w:t>
            </w:r>
            <w:r>
              <w:rPr>
                <w:rFonts w:hint="eastAsia" w:hAnsi="宋体"/>
                <w:color w:val="000000" w:themeColor="text1"/>
                <w:kern w:val="2"/>
                <w14:textFill>
                  <w14:solidFill>
                    <w14:schemeClr w14:val="tx1"/>
                  </w14:solidFill>
                </w14:textFill>
              </w:rPr>
              <w:t>2</w:t>
            </w:r>
            <w:r>
              <w:rPr>
                <w:rFonts w:hAnsi="宋体"/>
                <w:color w:val="000000" w:themeColor="text1"/>
                <w:kern w:val="2"/>
                <w14:textFill>
                  <w14:solidFill>
                    <w14:schemeClr w14:val="tx1"/>
                  </w14:solidFill>
                </w14:textFill>
              </w:rPr>
              <w:t>类标准</w:t>
            </w:r>
            <w:r>
              <w:rPr>
                <w:rFonts w:hint="eastAsia" w:hAnsi="宋体"/>
                <w:color w:val="000000" w:themeColor="text1"/>
                <w:kern w:val="2"/>
                <w14:textFill>
                  <w14:solidFill>
                    <w14:schemeClr w14:val="tx1"/>
                  </w14:solidFill>
                </w14:textFill>
              </w:rPr>
              <w:t>限值的要求。</w:t>
            </w:r>
          </w:p>
          <w:p>
            <w:pPr>
              <w:spacing w:line="480" w:lineRule="exact"/>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固体废物环境影响分析</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本项目产生的固体废物主要为除尘器收集的除尘灰和职工生活产生的生活垃圾。</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（1）除尘灰S1</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除尘器收集的灰尘量约为95.04t/a，可以作为原料回用于生产系统。</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（2）生活垃圾S2</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本项目职工人数为12人，按每人每天产生0.5kg生活废物计，本项目生活垃圾产生量为6kg/d（1.8t/a），生活垃圾集中收集后</w:t>
            </w:r>
            <w:r>
              <w:rPr>
                <w:rFonts w:hint="eastAsia"/>
                <w:color w:val="000000" w:themeColor="text1"/>
                <w:spacing w:val="6"/>
                <w:sz w:val="24"/>
                <w14:textFill>
                  <w14:solidFill>
                    <w14:schemeClr w14:val="tx1"/>
                  </w14:solidFill>
                </w14:textFill>
              </w:rPr>
              <w:t>交由环卫部门处置</w:t>
            </w:r>
            <w:r>
              <w:rPr>
                <w:rFonts w:hint="eastAsia"/>
                <w:color w:val="000000" w:themeColor="text1"/>
                <w:sz w:val="24"/>
                <w14:textFill>
                  <w14:solidFill>
                    <w14:schemeClr w14:val="tx1"/>
                  </w14:solidFill>
                </w14:textFill>
              </w:rPr>
              <w:t>。</w:t>
            </w:r>
          </w:p>
          <w:p>
            <w:pPr>
              <w:spacing w:line="480" w:lineRule="exact"/>
              <w:ind w:firstLine="460" w:firstLineChars="19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采取上述措施后，本项目固废对周围环境产生影响较小。</w:t>
            </w:r>
            <w:r>
              <w:rPr>
                <w:color w:val="000000" w:themeColor="text1"/>
                <w:sz w:val="24"/>
                <w14:textFill>
                  <w14:solidFill>
                    <w14:schemeClr w14:val="tx1"/>
                  </w14:solidFill>
                </w14:textFill>
              </w:rPr>
              <w:t xml:space="preserve"> </w:t>
            </w:r>
          </w:p>
          <w:p>
            <w:pPr>
              <w:spacing w:line="480" w:lineRule="exact"/>
              <w:ind w:firstLine="482" w:firstLineChars="200"/>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5、土壤环境影响分析</w:t>
            </w:r>
          </w:p>
          <w:p>
            <w:pPr>
              <w:snapToGrid w:val="0"/>
              <w:spacing w:line="480" w:lineRule="exact"/>
              <w:ind w:firstLine="480" w:firstLineChars="200"/>
              <w:rPr>
                <w:rFonts w:hAnsi="宋体"/>
                <w:bCs/>
                <w:color w:val="000000" w:themeColor="text1"/>
                <w:sz w:val="24"/>
                <w14:textFill>
                  <w14:solidFill>
                    <w14:schemeClr w14:val="tx1"/>
                  </w14:solidFill>
                </w14:textFill>
              </w:rPr>
            </w:pPr>
            <w:bookmarkStart w:id="13" w:name="_Hlk14768029"/>
            <w:r>
              <w:rPr>
                <w:bCs/>
                <w:color w:val="000000" w:themeColor="text1"/>
                <w:sz w:val="24"/>
                <w14:textFill>
                  <w14:solidFill>
                    <w14:schemeClr w14:val="tx1"/>
                  </w14:solidFill>
                </w14:textFill>
              </w:rPr>
              <w:t>5.1</w:t>
            </w:r>
            <w:r>
              <w:rPr>
                <w:rFonts w:hint="eastAsia"/>
                <w:bCs/>
                <w:color w:val="000000" w:themeColor="text1"/>
                <w:sz w:val="24"/>
                <w14:textFill>
                  <w14:solidFill>
                    <w14:schemeClr w14:val="tx1"/>
                  </w14:solidFill>
                </w14:textFill>
              </w:rPr>
              <w:t>土壤环境评价等级</w:t>
            </w:r>
          </w:p>
          <w:p>
            <w:pPr>
              <w:spacing w:line="480" w:lineRule="exact"/>
              <w:ind w:firstLine="480" w:firstLineChars="200"/>
              <w:jc w:val="left"/>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w:t>
            </w:r>
            <w:r>
              <w:rPr>
                <w:color w:val="000000" w:themeColor="text1"/>
                <w:sz w:val="24"/>
                <w:szCs w:val="22"/>
                <w14:textFill>
                  <w14:solidFill>
                    <w14:schemeClr w14:val="tx1"/>
                  </w14:solidFill>
                </w14:textFill>
              </w:rPr>
              <w:t>1</w:t>
            </w:r>
            <w:r>
              <w:rPr>
                <w:rFonts w:hint="eastAsia"/>
                <w:color w:val="000000" w:themeColor="text1"/>
                <w:sz w:val="24"/>
                <w:szCs w:val="22"/>
                <w14:textFill>
                  <w14:solidFill>
                    <w14:schemeClr w14:val="tx1"/>
                  </w14:solidFill>
                </w14:textFill>
              </w:rPr>
              <w:t>）项目类别</w:t>
            </w:r>
          </w:p>
          <w:p>
            <w:pPr>
              <w:spacing w:line="480" w:lineRule="exact"/>
              <w:ind w:firstLine="480" w:firstLineChars="200"/>
              <w:jc w:val="left"/>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根据《环境影响评价技术导则</w:t>
            </w:r>
            <w:r>
              <w:rPr>
                <w:color w:val="000000" w:themeColor="text1"/>
                <w:sz w:val="24"/>
                <w:szCs w:val="22"/>
                <w14:textFill>
                  <w14:solidFill>
                    <w14:schemeClr w14:val="tx1"/>
                  </w14:solidFill>
                </w14:textFill>
              </w:rPr>
              <w:t xml:space="preserve"> </w:t>
            </w:r>
            <w:r>
              <w:rPr>
                <w:rFonts w:hint="eastAsia"/>
                <w:color w:val="000000" w:themeColor="text1"/>
                <w:sz w:val="24"/>
                <w:szCs w:val="22"/>
                <w14:textFill>
                  <w14:solidFill>
                    <w14:schemeClr w14:val="tx1"/>
                  </w14:solidFill>
                </w14:textFill>
              </w:rPr>
              <w:t>土壤环境》（</w:t>
            </w:r>
            <w:r>
              <w:rPr>
                <w:color w:val="000000" w:themeColor="text1"/>
                <w:sz w:val="24"/>
                <w:szCs w:val="22"/>
                <w14:textFill>
                  <w14:solidFill>
                    <w14:schemeClr w14:val="tx1"/>
                  </w14:solidFill>
                </w14:textFill>
              </w:rPr>
              <w:t>HJ964-2019</w:t>
            </w:r>
            <w:r>
              <w:rPr>
                <w:rFonts w:hint="eastAsia"/>
                <w:color w:val="000000" w:themeColor="text1"/>
                <w:sz w:val="24"/>
                <w:szCs w:val="22"/>
                <w14:textFill>
                  <w14:solidFill>
                    <w14:schemeClr w14:val="tx1"/>
                  </w14:solidFill>
                </w14:textFill>
              </w:rPr>
              <w:t>）附录</w:t>
            </w:r>
            <w:r>
              <w:rPr>
                <w:color w:val="000000" w:themeColor="text1"/>
                <w:sz w:val="24"/>
                <w:szCs w:val="22"/>
                <w14:textFill>
                  <w14:solidFill>
                    <w14:schemeClr w14:val="tx1"/>
                  </w14:solidFill>
                </w14:textFill>
              </w:rPr>
              <w:t>A</w:t>
            </w:r>
            <w:r>
              <w:rPr>
                <w:rFonts w:hint="eastAsia"/>
                <w:color w:val="000000" w:themeColor="text1"/>
                <w:sz w:val="24"/>
                <w:szCs w:val="22"/>
                <w14:textFill>
                  <w14:solidFill>
                    <w14:schemeClr w14:val="tx1"/>
                  </w14:solidFill>
                </w14:textFill>
              </w:rPr>
              <w:t>土壤环境影响评价项目类别，本项目属于制造业中制造业中“金属冶炼和压延加工及非金属矿物制品”中其他，属于</w:t>
            </w:r>
            <w:r>
              <w:rPr>
                <w:color w:val="000000" w:themeColor="text1"/>
                <w14:textFill>
                  <w14:solidFill>
                    <w14:schemeClr w14:val="tx1"/>
                  </w14:solidFill>
                </w14:textFill>
              </w:rPr>
              <w:fldChar w:fldCharType="begin"/>
            </w:r>
            <w:r>
              <w:rPr>
                <w:color w:val="000000" w:themeColor="text1"/>
                <w:sz w:val="24"/>
                <w:szCs w:val="22"/>
                <w14:textFill>
                  <w14:solidFill>
                    <w14:schemeClr w14:val="tx1"/>
                  </w14:solidFill>
                </w14:textFill>
              </w:rPr>
              <w:instrText xml:space="preserve"> = 3 \* ROMAN </w:instrText>
            </w:r>
            <w:r>
              <w:rPr>
                <w:color w:val="000000" w:themeColor="text1"/>
                <w14:textFill>
                  <w14:solidFill>
                    <w14:schemeClr w14:val="tx1"/>
                  </w14:solidFill>
                </w14:textFill>
              </w:rPr>
              <w:fldChar w:fldCharType="separate"/>
            </w:r>
            <w:r>
              <w:rPr>
                <w:color w:val="000000" w:themeColor="text1"/>
                <w:sz w:val="24"/>
                <w:szCs w:val="22"/>
                <w14:textFill>
                  <w14:solidFill>
                    <w14:schemeClr w14:val="tx1"/>
                  </w14:solidFill>
                </w14:textFill>
              </w:rPr>
              <w:t>III</w:t>
            </w:r>
            <w:r>
              <w:rPr>
                <w:color w:val="000000" w:themeColor="text1"/>
                <w14:textFill>
                  <w14:solidFill>
                    <w14:schemeClr w14:val="tx1"/>
                  </w14:solidFill>
                </w14:textFill>
              </w:rPr>
              <w:fldChar w:fldCharType="end"/>
            </w:r>
            <w:r>
              <w:rPr>
                <w:rFonts w:hint="eastAsia"/>
                <w:color w:val="000000" w:themeColor="text1"/>
                <w:sz w:val="24"/>
                <w:szCs w:val="22"/>
                <w14:textFill>
                  <w14:solidFill>
                    <w14:schemeClr w14:val="tx1"/>
                  </w14:solidFill>
                </w14:textFill>
              </w:rPr>
              <w:t>类项目。</w:t>
            </w:r>
          </w:p>
          <w:p>
            <w:pPr>
              <w:spacing w:line="480" w:lineRule="exact"/>
              <w:ind w:left="48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）土壤环境敏感程度</w:t>
            </w:r>
          </w:p>
          <w:p>
            <w:pPr>
              <w:spacing w:line="480" w:lineRule="exact"/>
              <w:jc w:val="center"/>
              <w:rPr>
                <w:b/>
                <w:bCs/>
                <w:color w:val="000000" w:themeColor="text1"/>
                <w:spacing w:val="4"/>
                <w:sz w:val="24"/>
                <w14:textFill>
                  <w14:solidFill>
                    <w14:schemeClr w14:val="tx1"/>
                  </w14:solidFill>
                </w14:textFill>
              </w:rPr>
            </w:pPr>
            <w:r>
              <w:rPr>
                <w:rFonts w:hint="eastAsia"/>
                <w:b/>
                <w:bCs/>
                <w:color w:val="000000" w:themeColor="text1"/>
                <w:spacing w:val="4"/>
                <w:sz w:val="24"/>
                <w14:textFill>
                  <w14:solidFill>
                    <w14:schemeClr w14:val="tx1"/>
                  </w14:solidFill>
                </w14:textFill>
              </w:rPr>
              <w:t>表7-14污染影响型敏感程度分级表</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7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敏感程度</w:t>
                  </w:r>
                </w:p>
              </w:tc>
              <w:tc>
                <w:tcPr>
                  <w:tcW w:w="75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判别依据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敏感</w:t>
                  </w:r>
                </w:p>
              </w:tc>
              <w:tc>
                <w:tcPr>
                  <w:tcW w:w="75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建设项目周边存在耕地、园地、牧草地、饮用水水源地或居民区、学校、医院、疗养院、养老院等土壤环境敏感目标的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较敏感</w:t>
                  </w:r>
                </w:p>
              </w:tc>
              <w:tc>
                <w:tcPr>
                  <w:tcW w:w="75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建设项目周边存在其他土壤环境敏感目标的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不敏感</w:t>
                  </w:r>
                </w:p>
              </w:tc>
              <w:tc>
                <w:tcPr>
                  <w:tcW w:w="75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其他情况</w:t>
                  </w:r>
                </w:p>
              </w:tc>
            </w:tr>
          </w:tbl>
          <w:p>
            <w:pPr>
              <w:numPr>
                <w:ilvl w:val="0"/>
                <w:numId w:val="4"/>
              </w:numPr>
              <w:spacing w:line="480" w:lineRule="exact"/>
              <w:ind w:left="48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评价等级确定</w:t>
            </w:r>
          </w:p>
          <w:p>
            <w:pPr>
              <w:spacing w:line="480" w:lineRule="exact"/>
              <w:jc w:val="center"/>
              <w:rPr>
                <w:b/>
                <w:bCs/>
                <w:color w:val="000000" w:themeColor="text1"/>
                <w:spacing w:val="4"/>
                <w:sz w:val="24"/>
                <w14:textFill>
                  <w14:solidFill>
                    <w14:schemeClr w14:val="tx1"/>
                  </w14:solidFill>
                </w14:textFill>
              </w:rPr>
            </w:pPr>
            <w:r>
              <w:rPr>
                <w:rFonts w:hint="eastAsia"/>
                <w:b/>
                <w:bCs/>
                <w:color w:val="000000" w:themeColor="text1"/>
                <w:spacing w:val="4"/>
                <w:sz w:val="24"/>
                <w14:textFill>
                  <w14:solidFill>
                    <w14:schemeClr w14:val="tx1"/>
                  </w14:solidFill>
                </w14:textFill>
              </w:rPr>
              <w:t>表7-15 污染影响型评价等级划分表</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851"/>
              <w:gridCol w:w="850"/>
              <w:gridCol w:w="851"/>
              <w:gridCol w:w="850"/>
              <w:gridCol w:w="758"/>
              <w:gridCol w:w="924"/>
              <w:gridCol w:w="924"/>
              <w:gridCol w:w="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38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占地规模工作等级</w:t>
                  </w:r>
                </w:p>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敏感程度</w:t>
                  </w:r>
                </w:p>
              </w:tc>
              <w:tc>
                <w:tcPr>
                  <w:tcW w:w="25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rFonts w:hint="eastAsia" w:ascii="宋体"/>
                      <w:color w:val="000000" w:themeColor="text1"/>
                      <w:szCs w:val="21"/>
                      <w14:textFill>
                        <w14:solidFill>
                          <w14:schemeClr w14:val="tx1"/>
                        </w14:solidFill>
                      </w14:textFill>
                    </w:rPr>
                    <w:instrText xml:space="preserve"> = 1 \* ROMAN </w:instrText>
                  </w:r>
                  <w:r>
                    <w:rPr>
                      <w:color w:val="000000" w:themeColor="text1"/>
                      <w14:textFill>
                        <w14:solidFill>
                          <w14:schemeClr w14:val="tx1"/>
                        </w14:solidFill>
                      </w14:textFill>
                    </w:rPr>
                    <w:fldChar w:fldCharType="separate"/>
                  </w:r>
                  <w:r>
                    <w:rPr>
                      <w:rFonts w:hint="eastAsia" w:ascii="宋体"/>
                      <w:color w:val="000000" w:themeColor="text1"/>
                      <w:szCs w:val="21"/>
                      <w14:textFill>
                        <w14:solidFill>
                          <w14:schemeClr w14:val="tx1"/>
                        </w14:solidFill>
                      </w14:textFill>
                    </w:rPr>
                    <w:t>I</w:t>
                  </w:r>
                  <w:r>
                    <w:rPr>
                      <w:color w:val="000000" w:themeColor="text1"/>
                      <w14:textFill>
                        <w14:solidFill>
                          <w14:schemeClr w14:val="tx1"/>
                        </w14:solidFill>
                      </w14:textFill>
                    </w:rPr>
                    <w:fldChar w:fldCharType="end"/>
                  </w:r>
                  <w:r>
                    <w:rPr>
                      <w:rFonts w:hint="eastAsia" w:ascii="宋体"/>
                      <w:color w:val="000000" w:themeColor="text1"/>
                      <w:szCs w:val="21"/>
                      <w14:textFill>
                        <w14:solidFill>
                          <w14:schemeClr w14:val="tx1"/>
                        </w14:solidFill>
                      </w14:textFill>
                    </w:rPr>
                    <w:t>类</w:t>
                  </w:r>
                </w:p>
              </w:tc>
              <w:tc>
                <w:tcPr>
                  <w:tcW w:w="253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rFonts w:hint="eastAsia" w:ascii="宋体"/>
                      <w:color w:val="000000" w:themeColor="text1"/>
                      <w:szCs w:val="21"/>
                      <w14:textFill>
                        <w14:solidFill>
                          <w14:schemeClr w14:val="tx1"/>
                        </w14:solidFill>
                      </w14:textFill>
                    </w:rPr>
                    <w:instrText xml:space="preserve"> = 2 \* ROMAN </w:instrText>
                  </w:r>
                  <w:r>
                    <w:rPr>
                      <w:color w:val="000000" w:themeColor="text1"/>
                      <w14:textFill>
                        <w14:solidFill>
                          <w14:schemeClr w14:val="tx1"/>
                        </w14:solidFill>
                      </w14:textFill>
                    </w:rPr>
                    <w:fldChar w:fldCharType="separate"/>
                  </w:r>
                  <w:r>
                    <w:rPr>
                      <w:rFonts w:hint="eastAsia" w:ascii="宋体"/>
                      <w:color w:val="000000" w:themeColor="text1"/>
                      <w:szCs w:val="21"/>
                      <w14:textFill>
                        <w14:solidFill>
                          <w14:schemeClr w14:val="tx1"/>
                        </w14:solidFill>
                      </w14:textFill>
                    </w:rPr>
                    <w:t>II</w:t>
                  </w:r>
                  <w:r>
                    <w:rPr>
                      <w:color w:val="000000" w:themeColor="text1"/>
                      <w14:textFill>
                        <w14:solidFill>
                          <w14:schemeClr w14:val="tx1"/>
                        </w14:solidFill>
                      </w14:textFill>
                    </w:rPr>
                    <w:fldChar w:fldCharType="end"/>
                  </w:r>
                  <w:r>
                    <w:rPr>
                      <w:rFonts w:hint="eastAsia" w:ascii="宋体"/>
                      <w:color w:val="000000" w:themeColor="text1"/>
                      <w:szCs w:val="21"/>
                      <w14:textFill>
                        <w14:solidFill>
                          <w14:schemeClr w14:val="tx1"/>
                        </w14:solidFill>
                      </w14:textFill>
                    </w:rPr>
                    <w:t>类</w:t>
                  </w:r>
                </w:p>
              </w:tc>
              <w:tc>
                <w:tcPr>
                  <w:tcW w:w="277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rFonts w:hint="eastAsia" w:ascii="宋体"/>
                      <w:color w:val="000000" w:themeColor="text1"/>
                      <w:szCs w:val="21"/>
                      <w14:textFill>
                        <w14:solidFill>
                          <w14:schemeClr w14:val="tx1"/>
                        </w14:solidFill>
                      </w14:textFill>
                    </w:rPr>
                    <w:instrText xml:space="preserve"> = 3 \* ROMAN </w:instrText>
                  </w:r>
                  <w:r>
                    <w:rPr>
                      <w:color w:val="000000" w:themeColor="text1"/>
                      <w14:textFill>
                        <w14:solidFill>
                          <w14:schemeClr w14:val="tx1"/>
                        </w14:solidFill>
                      </w14:textFill>
                    </w:rPr>
                    <w:fldChar w:fldCharType="separate"/>
                  </w:r>
                  <w:r>
                    <w:rPr>
                      <w:rFonts w:hint="eastAsia" w:ascii="宋体"/>
                      <w:color w:val="000000" w:themeColor="text1"/>
                      <w:szCs w:val="21"/>
                      <w14:textFill>
                        <w14:solidFill>
                          <w14:schemeClr w14:val="tx1"/>
                        </w14:solidFill>
                      </w14:textFill>
                    </w:rPr>
                    <w:t>III</w:t>
                  </w:r>
                  <w:r>
                    <w:rPr>
                      <w:color w:val="000000" w:themeColor="text1"/>
                      <w14:textFill>
                        <w14:solidFill>
                          <w14:schemeClr w14:val="tx1"/>
                        </w14:solidFill>
                      </w14:textFill>
                    </w:rPr>
                    <w:fldChar w:fldCharType="end"/>
                  </w:r>
                  <w:r>
                    <w:rPr>
                      <w:rFonts w:hint="eastAsia" w:ascii="宋体"/>
                      <w:color w:val="000000" w:themeColor="text1"/>
                      <w:szCs w:val="21"/>
                      <w14:textFill>
                        <w14:solidFill>
                          <w14:schemeClr w14:val="tx1"/>
                        </w14:solidFill>
                      </w14:textFill>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themeColor="text1"/>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中</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小</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大</w:t>
                  </w: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中</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小</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中</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敏感</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一级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一级</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一级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较敏感</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一级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一级</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red"/>
                      <w14:textFill>
                        <w14:solidFill>
                          <w14:schemeClr w14:val="tx1"/>
                        </w14:solidFill>
                      </w14:textFill>
                    </w:rPr>
                  </w:pPr>
                  <w:r>
                    <w:rPr>
                      <w:rFonts w:hint="eastAsia" w:ascii="宋体"/>
                      <w:color w:val="000000" w:themeColor="text1"/>
                      <w:szCs w:val="21"/>
                      <w:highlight w:val="red"/>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不敏感</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一级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二级</w:t>
                  </w: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softHyphen/>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w:t>
                  </w:r>
                </w:p>
              </w:tc>
            </w:tr>
          </w:tbl>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本项目占地位于</w:t>
            </w:r>
            <w:r>
              <w:rPr>
                <w:rFonts w:hint="eastAsia"/>
                <w:bCs/>
                <w:color w:val="000000" w:themeColor="text1"/>
                <w:sz w:val="24"/>
                <w14:textFill>
                  <w14:solidFill>
                    <w14:schemeClr w14:val="tx1"/>
                  </w14:solidFill>
                </w14:textFill>
              </w:rPr>
              <w:t>山西省忻州市宁武县凤凰镇前石湖村约东南560m</w:t>
            </w:r>
            <w:r>
              <w:rPr>
                <w:rFonts w:hint="eastAsia"/>
                <w:color w:val="000000" w:themeColor="text1"/>
                <w:sz w:val="24"/>
                <w14:textFill>
                  <w14:solidFill>
                    <w14:schemeClr w14:val="tx1"/>
                  </w14:solidFill>
                </w14:textFill>
              </w:rPr>
              <w:t>，项目</w:t>
            </w:r>
            <w:r>
              <w:rPr>
                <w:rFonts w:hint="eastAsia"/>
                <w:bCs/>
                <w:color w:val="000000" w:themeColor="text1"/>
                <w:sz w:val="24"/>
                <w14:textFill>
                  <w14:solidFill>
                    <w14:schemeClr w14:val="tx1"/>
                  </w14:solidFill>
                </w14:textFill>
              </w:rPr>
              <w:t>四周均为荒地。</w:t>
            </w:r>
            <w:r>
              <w:rPr>
                <w:rFonts w:hint="eastAsia"/>
                <w:color w:val="000000" w:themeColor="text1"/>
                <w:sz w:val="24"/>
                <w14:textFill>
                  <w14:solidFill>
                    <w14:schemeClr w14:val="tx1"/>
                  </w14:solidFill>
                </w14:textFill>
              </w:rPr>
              <w:t>土壤敏感程度为较敏感，本项目厂区占地面积1.47</w:t>
            </w:r>
            <w:r>
              <w:rPr>
                <w:color w:val="000000" w:themeColor="text1"/>
                <w:sz w:val="24"/>
                <w14:textFill>
                  <w14:solidFill>
                    <w14:schemeClr w14:val="tx1"/>
                  </w14:solidFill>
                </w14:textFill>
              </w:rPr>
              <w:t>hm</w:t>
            </w:r>
            <w:r>
              <w:rPr>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5hm</w:t>
            </w:r>
            <w:r>
              <w:rPr>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，占地规模为小型，因此，本项目土壤环境可以不进行评价。</w:t>
            </w:r>
            <w:bookmarkEnd w:id="13"/>
          </w:p>
          <w:p>
            <w:pPr>
              <w:spacing w:line="480" w:lineRule="exact"/>
              <w:jc w:val="center"/>
              <w:rPr>
                <w:b/>
                <w:bCs/>
                <w:color w:val="000000" w:themeColor="text1"/>
                <w:spacing w:val="4"/>
                <w:sz w:val="24"/>
                <w14:textFill>
                  <w14:solidFill>
                    <w14:schemeClr w14:val="tx1"/>
                  </w14:solidFill>
                </w14:textFill>
              </w:rPr>
            </w:pPr>
            <w:r>
              <w:rPr>
                <w:rFonts w:hint="eastAsia"/>
                <w:b/>
                <w:bCs/>
                <w:color w:val="000000" w:themeColor="text1"/>
                <w:spacing w:val="4"/>
                <w:sz w:val="24"/>
                <w14:textFill>
                  <w14:solidFill>
                    <w14:schemeClr w14:val="tx1"/>
                  </w14:solidFill>
                </w14:textFill>
              </w:rPr>
              <w:t>表7-16土壤环境影响评价自查表</w:t>
            </w:r>
          </w:p>
          <w:tbl>
            <w:tblPr>
              <w:tblStyle w:val="3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4"/>
              <w:gridCol w:w="1976"/>
              <w:gridCol w:w="1393"/>
              <w:gridCol w:w="417"/>
              <w:gridCol w:w="978"/>
              <w:gridCol w:w="371"/>
              <w:gridCol w:w="1026"/>
              <w:gridCol w:w="1483"/>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工作内容</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完成情况</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影响识别</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影像类型</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污染影响型</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rFonts w:hint="eastAsia" w:ascii="宋体"/>
                      <w:color w:val="000000" w:themeColor="text1"/>
                      <w:position w:val="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；生态影响型□；两种兼有□</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土地利用类型</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建设用地</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rFonts w:hint="eastAsia" w:ascii="宋体"/>
                      <w:color w:val="000000" w:themeColor="text1"/>
                      <w:position w:val="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；农用地□；未利用地□</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土地利用类型图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占地规模</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471）</w:t>
                  </w:r>
                  <w:r>
                    <w:rPr>
                      <w:color w:val="000000" w:themeColor="text1"/>
                      <w:sz w:val="18"/>
                      <w:szCs w:val="18"/>
                      <w14:textFill>
                        <w14:solidFill>
                          <w14:schemeClr w14:val="tx1"/>
                        </w14:solidFill>
                      </w14:textFill>
                    </w:rPr>
                    <w:t>hm</w:t>
                  </w:r>
                  <w:r>
                    <w:rPr>
                      <w:color w:val="000000" w:themeColor="text1"/>
                      <w:sz w:val="18"/>
                      <w:szCs w:val="18"/>
                      <w:vertAlign w:val="superscript"/>
                      <w14:textFill>
                        <w14:solidFill>
                          <w14:schemeClr w14:val="tx1"/>
                        </w14:solidFill>
                      </w14:textFill>
                    </w:rPr>
                    <w:t>2</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敏感目标信息</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敏感目标（</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）、方位（</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）、距离（</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影响途径</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大气沉降</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rFonts w:hint="eastAsia" w:ascii="宋体"/>
                      <w:color w:val="000000" w:themeColor="text1"/>
                      <w:position w:val="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；地面漫流□；垂直入渗□；地下水位□；其他（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全部污染物</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pH</w:t>
                  </w:r>
                  <w:r>
                    <w:rPr>
                      <w:rFonts w:hint="eastAsia"/>
                      <w:color w:val="000000" w:themeColor="text1"/>
                      <w:sz w:val="18"/>
                      <w:szCs w:val="18"/>
                      <w14:textFill>
                        <w14:solidFill>
                          <w14:schemeClr w14:val="tx1"/>
                        </w14:solidFill>
                      </w14:textFill>
                    </w:rPr>
                    <w:t>、砷、镉、铬（六价）、铜、铅、汞、镍</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特征因子</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pH</w:t>
                  </w:r>
                  <w:r>
                    <w:rPr>
                      <w:rFonts w:hint="eastAsia"/>
                      <w:color w:val="000000" w:themeColor="text1"/>
                      <w:sz w:val="18"/>
                      <w:szCs w:val="18"/>
                      <w14:textFill>
                        <w14:solidFill>
                          <w14:schemeClr w14:val="tx1"/>
                        </w14:solidFill>
                      </w14:textFill>
                    </w:rPr>
                    <w:t>、砷、镉、铬（六价）、铜、铅、汞、镍</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所属土壤环境影响评价项目类别</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Ⅰ类</w:t>
                  </w:r>
                  <w:r>
                    <w:rPr>
                      <w:rFonts w:hint="eastAsia" w:ascii="黑体" w:hAnsi="黑体" w:cs="黑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Ⅱ类</w:t>
                  </w:r>
                  <w:r>
                    <w:rPr>
                      <w:rFonts w:hint="eastAsia" w:ascii="黑体" w:hAnsi="黑体" w:cs="黑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Ⅲ类</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rFonts w:hint="eastAsia"/>
                      <w:color w:val="000000" w:themeColor="text1"/>
                      <w:position w:val="2"/>
                      <w:sz w:val="12"/>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Ⅳ类</w:t>
                  </w:r>
                  <w:r>
                    <w:rPr>
                      <w:rFonts w:hint="eastAsia" w:ascii="黑体" w:hAnsi="黑体" w:cs="黑体"/>
                      <w:color w:val="000000" w:themeColor="text1"/>
                      <w:sz w:val="18"/>
                      <w:szCs w:val="18"/>
                      <w14:textFill>
                        <w14:solidFill>
                          <w14:schemeClr w14:val="tx1"/>
                        </w14:solidFill>
                      </w14:textFill>
                    </w:rPr>
                    <w:t>□</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敏感程度</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敏感</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；较敏感</w:t>
                  </w:r>
                  <w:r>
                    <w:rPr>
                      <w:rFonts w:hint="eastAsia" w:ascii="黑体" w:hAnsi="黑体" w:cs="黑体"/>
                      <w:color w:val="000000" w:themeColor="text1"/>
                      <w:sz w:val="18"/>
                      <w:szCs w:val="18"/>
                      <w14:textFill>
                        <w14:solidFill>
                          <w14:schemeClr w14:val="tx1"/>
                        </w14:solidFill>
                      </w14:textFill>
                    </w:rPr>
                    <w:sym w:font="Wingdings 2" w:char="0052"/>
                  </w:r>
                  <w:r>
                    <w:rPr>
                      <w:rFonts w:hint="eastAsia" w:ascii="黑体" w:hAnsi="黑体" w:cs="黑体"/>
                      <w:color w:val="000000" w:themeColor="text1"/>
                      <w:sz w:val="18"/>
                      <w:szCs w:val="18"/>
                      <w14:textFill>
                        <w14:solidFill>
                          <w14:schemeClr w14:val="tx1"/>
                        </w14:solidFill>
                      </w14:textFill>
                    </w:rPr>
                    <w:t>；不敏感□</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评价工作等级</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一级</w:t>
                  </w:r>
                  <w:r>
                    <w:rPr>
                      <w:rFonts w:hint="eastAsia" w:ascii="黑体" w:hAnsi="黑体" w:cs="黑体"/>
                      <w:color w:val="000000" w:themeColor="text1"/>
                      <w:sz w:val="18"/>
                      <w:szCs w:val="18"/>
                      <w14:textFill>
                        <w14:solidFill>
                          <w14:schemeClr w14:val="tx1"/>
                        </w14:solidFill>
                      </w14:textFill>
                    </w:rPr>
                    <w:t>□；二级□；三级</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现状调查内容</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资料收集</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w:t>
                  </w:r>
                  <w:r>
                    <w:rPr>
                      <w:rFonts w:hint="eastAsia" w:ascii="黑体" w:hAnsi="黑体" w:cs="黑体"/>
                      <w:color w:val="000000" w:themeColor="text1"/>
                      <w:sz w:val="18"/>
                      <w:szCs w:val="18"/>
                      <w14:textFill>
                        <w14:solidFill>
                          <w14:schemeClr w14:val="tx1"/>
                        </w14:solidFill>
                      </w14:textFill>
                    </w:rPr>
                    <w:t xml:space="preserve"> □；b) </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 xml:space="preserve">；c) </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；d)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理化特性</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现状监测点位</w:t>
                  </w:r>
                </w:p>
              </w:tc>
              <w:tc>
                <w:tcPr>
                  <w:tcW w:w="748"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74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占地范围内</w:t>
                  </w:r>
                </w:p>
              </w:tc>
              <w:tc>
                <w:tcPr>
                  <w:tcW w:w="75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占地范围外</w:t>
                  </w:r>
                </w:p>
              </w:tc>
              <w:tc>
                <w:tcPr>
                  <w:tcW w:w="796"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深度</w:t>
                  </w:r>
                </w:p>
              </w:tc>
              <w:tc>
                <w:tcPr>
                  <w:tcW w:w="647"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点位布置图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748"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表层样点数</w:t>
                  </w:r>
                </w:p>
              </w:tc>
              <w:tc>
                <w:tcPr>
                  <w:tcW w:w="74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750"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14:textFill>
                        <w14:solidFill>
                          <w14:schemeClr w14:val="tx1"/>
                        </w14:solidFill>
                      </w14:textFill>
                    </w:rPr>
                  </w:pPr>
                </w:p>
              </w:tc>
              <w:tc>
                <w:tcPr>
                  <w:tcW w:w="796"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748"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柱状样点数</w:t>
                  </w:r>
                </w:p>
              </w:tc>
              <w:tc>
                <w:tcPr>
                  <w:tcW w:w="749"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14:textFill>
                        <w14:solidFill>
                          <w14:schemeClr w14:val="tx1"/>
                        </w14:solidFill>
                      </w14:textFill>
                    </w:rPr>
                  </w:pPr>
                </w:p>
              </w:tc>
              <w:tc>
                <w:tcPr>
                  <w:tcW w:w="75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79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14:textFill>
                        <w14:solidFill>
                          <w14:schemeClr w14:val="tx1"/>
                        </w14:solidFill>
                      </w14:textFill>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现状监测因子</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现状评价</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评价因子</w:t>
                  </w:r>
                </w:p>
              </w:tc>
              <w:tc>
                <w:tcPr>
                  <w:tcW w:w="74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14:textFill>
                        <w14:solidFill>
                          <w14:schemeClr w14:val="tx1"/>
                        </w14:solidFill>
                      </w14:textFill>
                    </w:rPr>
                  </w:pPr>
                </w:p>
              </w:tc>
              <w:tc>
                <w:tcPr>
                  <w:tcW w:w="948"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134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评价标准</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GB15618</w:t>
                  </w:r>
                  <w:r>
                    <w:rPr>
                      <w:rFonts w:hint="eastAsia" w:ascii="黑体" w:hAnsi="黑体" w:cs="黑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GB 36600</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;表D.1□;表D.2</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rFonts w:hint="eastAsia" w:ascii="宋体"/>
                      <w:color w:val="000000" w:themeColor="text1"/>
                      <w:position w:val="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；其他（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现状评价结论</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影响预测</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预测因子</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预测方法</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附录</w:t>
                  </w:r>
                  <w:r>
                    <w:rPr>
                      <w:color w:val="000000" w:themeColor="text1"/>
                      <w:sz w:val="18"/>
                      <w:szCs w:val="18"/>
                      <w14:textFill>
                        <w14:solidFill>
                          <w14:schemeClr w14:val="tx1"/>
                        </w14:solidFill>
                      </w14:textFill>
                    </w:rPr>
                    <w:t>E</w:t>
                  </w:r>
                  <w:r>
                    <w:rPr>
                      <w:rFonts w:hint="eastAsia" w:ascii="黑体" w:hAnsi="黑体" w:cs="黑体"/>
                      <w:color w:val="000000" w:themeColor="text1"/>
                      <w:sz w:val="18"/>
                      <w:szCs w:val="18"/>
                      <w14:textFill>
                        <w14:solidFill>
                          <w14:schemeClr w14:val="tx1"/>
                        </w14:solidFill>
                      </w14:textFill>
                    </w:rPr>
                    <w:t>□;附录F□；其他（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预测分析内容</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影响范围（</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p>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影响程度（</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预测结论</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ascii="黑体" w:hAnsi="黑体" w:cs="黑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达标结论：</w:t>
                  </w:r>
                  <w:r>
                    <w:rPr>
                      <w:color w:val="000000" w:themeColor="text1"/>
                      <w:sz w:val="18"/>
                      <w:szCs w:val="18"/>
                      <w14:textFill>
                        <w14:solidFill>
                          <w14:schemeClr w14:val="tx1"/>
                        </w14:solidFill>
                      </w14:textFill>
                    </w:rPr>
                    <w:t>a)</w:t>
                  </w:r>
                  <w:r>
                    <w:rPr>
                      <w:rFonts w:hint="eastAsia" w:ascii="黑体" w:hAnsi="黑体" w:cs="黑体"/>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 xml:space="preserve">；;b) □；c) </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p>
                <w:p>
                  <w:pPr>
                    <w:rPr>
                      <w:rFonts w:cs="宋体"/>
                      <w:color w:val="000000" w:themeColor="text1"/>
                      <w:sz w:val="18"/>
                      <w:szCs w:val="18"/>
                      <w14:textFill>
                        <w14:solidFill>
                          <w14:schemeClr w14:val="tx1"/>
                        </w14:solidFill>
                      </w14:textFill>
                    </w:rPr>
                  </w:pPr>
                  <w:r>
                    <w:rPr>
                      <w:rFonts w:hint="eastAsia" w:ascii="黑体" w:hAnsi="黑体" w:cs="黑体"/>
                      <w:color w:val="000000" w:themeColor="text1"/>
                      <w:sz w:val="18"/>
                      <w:szCs w:val="18"/>
                      <w14:textFill>
                        <w14:solidFill>
                          <w14:schemeClr w14:val="tx1"/>
                        </w14:solidFill>
                      </w14:textFill>
                    </w:rPr>
                    <w:t>不达标结论：</w:t>
                  </w:r>
                  <w:r>
                    <w:rPr>
                      <w:color w:val="000000" w:themeColor="text1"/>
                      <w:sz w:val="18"/>
                      <w:szCs w:val="18"/>
                      <w14:textFill>
                        <w14:solidFill>
                          <w14:schemeClr w14:val="tx1"/>
                        </w14:solidFill>
                      </w14:textFill>
                    </w:rPr>
                    <w:t>a)</w:t>
                  </w:r>
                  <w:r>
                    <w:rPr>
                      <w:rFonts w:hint="eastAsia" w:ascii="黑体" w:hAnsi="黑体" w:cs="黑体"/>
                      <w:color w:val="000000" w:themeColor="text1"/>
                      <w:sz w:val="18"/>
                      <w:szCs w:val="18"/>
                      <w14:textFill>
                        <w14:solidFill>
                          <w14:schemeClr w14:val="tx1"/>
                        </w14:solidFill>
                      </w14:textFill>
                    </w:rPr>
                    <w:t xml:space="preserve"> □；;b)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防治措施</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防控措施</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土壤环境质量现状保障</w:t>
                  </w:r>
                  <w:r>
                    <w:rPr>
                      <w:rFonts w:hint="eastAsia" w:ascii="黑体" w:hAnsi="黑体" w:cs="黑体"/>
                      <w:color w:val="000000" w:themeColor="text1"/>
                      <w:sz w:val="18"/>
                      <w:szCs w:val="18"/>
                      <w14:textFill>
                        <w14:solidFill>
                          <w14:schemeClr w14:val="tx1"/>
                        </w14:solidFill>
                      </w14:textFill>
                    </w:rPr>
                    <w:t>□；源头控制</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rFonts w:hint="eastAsia" w:ascii="宋体"/>
                      <w:color w:val="000000" w:themeColor="text1"/>
                      <w:position w:val="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；过程防控</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eq \o\ac(</w:instrText>
                  </w:r>
                  <w:r>
                    <w:rPr>
                      <w:rFonts w:hint="eastAsia"/>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rFonts w:hint="eastAsia" w:ascii="宋体"/>
                      <w:color w:val="000000" w:themeColor="text1"/>
                      <w:position w:val="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instrText xml:space="preserve">)</w:instrText>
                  </w:r>
                  <w:r>
                    <w:rPr>
                      <w:color w:val="000000" w:themeColor="text1"/>
                      <w:sz w:val="18"/>
                      <w:szCs w:val="18"/>
                      <w14:textFill>
                        <w14:solidFill>
                          <w14:schemeClr w14:val="tx1"/>
                        </w14:solidFill>
                      </w14:textFill>
                    </w:rPr>
                    <w:fldChar w:fldCharType="end"/>
                  </w:r>
                  <w:r>
                    <w:rPr>
                      <w:rFonts w:hint="eastAsia" w:ascii="黑体" w:hAnsi="黑体" w:cs="黑体"/>
                      <w:color w:val="000000" w:themeColor="text1"/>
                      <w:sz w:val="18"/>
                      <w:szCs w:val="18"/>
                      <w14:textFill>
                        <w14:solidFill>
                          <w14:schemeClr w14:val="tx1"/>
                        </w14:solidFill>
                      </w14:textFill>
                    </w:rPr>
                    <w:t>；其他（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跟踪监测</w:t>
                  </w:r>
                </w:p>
              </w:tc>
              <w:tc>
                <w:tcPr>
                  <w:tcW w:w="97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监测点数</w:t>
                  </w:r>
                </w:p>
              </w:tc>
              <w:tc>
                <w:tcPr>
                  <w:tcW w:w="127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监测指标</w:t>
                  </w:r>
                </w:p>
              </w:tc>
              <w:tc>
                <w:tcPr>
                  <w:tcW w:w="796"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监测频次</w:t>
                  </w:r>
                </w:p>
              </w:tc>
              <w:tc>
                <w:tcPr>
                  <w:tcW w:w="647"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972"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14:textFill>
                        <w14:solidFill>
                          <w14:schemeClr w14:val="tx1"/>
                        </w14:solidFill>
                      </w14:textFill>
                    </w:rPr>
                  </w:pPr>
                </w:p>
              </w:tc>
              <w:tc>
                <w:tcPr>
                  <w:tcW w:w="1275" w:type="pct"/>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14:textFill>
                        <w14:solidFill>
                          <w14:schemeClr w14:val="tx1"/>
                        </w14:solidFill>
                      </w14:textFill>
                    </w:rPr>
                  </w:pPr>
                </w:p>
              </w:tc>
              <w:tc>
                <w:tcPr>
                  <w:tcW w:w="79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14:textFill>
                        <w14:solidFill>
                          <w14:schemeClr w14:val="tx1"/>
                        </w14:solidFill>
                      </w14:textFill>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信息公开指标</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评价结论</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可接受</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注</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w:t>
                  </w:r>
                  <w:r>
                    <w:rPr>
                      <w:rFonts w:hint="eastAsia" w:ascii="黑体" w:hAnsi="黑体" w:cs="黑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”为勾选项，可√；“（</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）”为内容填写项；“备注”为其他补充内容</w:t>
                  </w:r>
                </w:p>
                <w:p>
                  <w:pPr>
                    <w:rPr>
                      <w:rFonts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注</w:t>
                  </w: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：需要分别开展土壤环境影响评级工作的，分别填写自查表</w:t>
                  </w:r>
                </w:p>
              </w:tc>
            </w:tr>
          </w:tbl>
          <w:p>
            <w:pPr>
              <w:spacing w:line="480" w:lineRule="exact"/>
              <w:ind w:firstLine="482" w:firstLineChars="200"/>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、生态环境影响分析</w:t>
            </w:r>
          </w:p>
          <w:p>
            <w:pPr>
              <w:adjustRightInd w:val="0"/>
              <w:snapToGrid w:val="0"/>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（1）粉尘对植物的危害</w:t>
            </w:r>
          </w:p>
          <w:p>
            <w:pPr>
              <w:pStyle w:val="88"/>
              <w:spacing w:beforeLines="0" w:line="480" w:lineRule="exact"/>
              <w:ind w:firstLine="480"/>
              <w:jc w:val="left"/>
              <w:rPr>
                <w:color w:val="000000" w:themeColor="text1"/>
                <w14:textFill>
                  <w14:solidFill>
                    <w14:schemeClr w14:val="tx1"/>
                  </w14:solidFill>
                </w14:textFill>
              </w:rPr>
            </w:pPr>
            <w:r>
              <w:rPr>
                <w:color w:val="000000" w:themeColor="text1"/>
                <w14:textFill>
                  <w14:solidFill>
                    <w14:schemeClr w14:val="tx1"/>
                  </w14:solidFill>
                </w14:textFill>
              </w:rPr>
              <w:t>在</w:t>
            </w:r>
            <w:r>
              <w:rPr>
                <w:rFonts w:hint="eastAsia"/>
                <w:color w:val="000000" w:themeColor="text1"/>
                <w14:textFill>
                  <w14:solidFill>
                    <w14:schemeClr w14:val="tx1"/>
                  </w14:solidFill>
                </w14:textFill>
              </w:rPr>
              <w:t>型煤</w:t>
            </w:r>
            <w:r>
              <w:rPr>
                <w:color w:val="000000" w:themeColor="text1"/>
                <w14:textFill>
                  <w14:solidFill>
                    <w14:schemeClr w14:val="tx1"/>
                  </w14:solidFill>
                </w14:textFill>
              </w:rPr>
              <w:t>加工及产品贮运过程中将产生粉尘。排放粉尘对植物的影响主要表现在对植物光合作用的影响上，粒径大于1um的颗粒物在扩散过程中可自然沉降，附着于植物叶片上，阻塞呼吸孔，有碍作物生长。</w:t>
            </w:r>
          </w:p>
          <w:p>
            <w:pPr>
              <w:adjustRightInd w:val="0"/>
              <w:snapToGrid w:val="0"/>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（2）污染物排放对动物的影响分析</w:t>
            </w:r>
          </w:p>
          <w:p>
            <w:pPr>
              <w:adjustRightInd w:val="0"/>
              <w:snapToGrid w:val="0"/>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在项目建成后，随着运营期的持续，项目所在地区周边的生态环境受人为活动的影响将会增加，导致原有生态环境结构发生一定调整，使陆生动物的栖息地环境缩小；</w:t>
            </w:r>
            <w:r>
              <w:rPr>
                <w:rFonts w:hint="eastAsia"/>
                <w:color w:val="000000" w:themeColor="text1"/>
                <w:sz w:val="24"/>
                <w14:textFill>
                  <w14:solidFill>
                    <w14:schemeClr w14:val="tx1"/>
                  </w14:solidFill>
                </w14:textFill>
              </w:rPr>
              <w:t>生产</w:t>
            </w:r>
            <w:r>
              <w:rPr>
                <w:color w:val="000000" w:themeColor="text1"/>
                <w:sz w:val="24"/>
                <w14:textFill>
                  <w14:solidFill>
                    <w14:schemeClr w14:val="tx1"/>
                  </w14:solidFill>
                </w14:textFill>
              </w:rPr>
              <w:t>过程中产生的噪声和振动会对动植物产生一定的影响。</w:t>
            </w:r>
          </w:p>
          <w:p>
            <w:pPr>
              <w:adjustRightInd w:val="0"/>
              <w:snapToGrid w:val="0"/>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营运期的污染物排放均会对动、植物造成有害影响。但区域总体上的植被数量、植物种类和群落分布以及动物区系的基本组成和性质不会发生大的变化。</w:t>
            </w:r>
          </w:p>
          <w:p>
            <w:pPr>
              <w:adjustRightInd w:val="0"/>
              <w:snapToGrid w:val="0"/>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为保护环境，该厂应加强厂区绿化工作，充分利用绿色植物在交换空气、改善环境、保持生态平衡等方面的重要作用。</w:t>
            </w:r>
          </w:p>
          <w:p>
            <w:pPr>
              <w:adjustRightInd w:val="0"/>
              <w:snapToGrid w:val="0"/>
              <w:spacing w:line="48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为确保植物良好生长以达到改善环境的目的，选择绿化植物至关重要，应选择抗性强，具有一定净化能力、萌生能力强的绿化植物，如松柏、冬青等，做到常绿和落叶相结合、乔木和灌木相结合。应积极实施厂区绿化，同时应加强管理，保证植物的成活率。</w:t>
            </w:r>
            <w:r>
              <w:rPr>
                <w:rFonts w:hint="eastAsia"/>
                <w:color w:val="000000" w:themeColor="text1"/>
                <w:sz w:val="24"/>
                <w14:textFill>
                  <w14:solidFill>
                    <w14:schemeClr w14:val="tx1"/>
                  </w14:solidFill>
                </w14:textFill>
              </w:rPr>
              <w:t>本项目绿化面积1000m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p>
          <w:p>
            <w:pPr>
              <w:spacing w:line="480" w:lineRule="exact"/>
              <w:ind w:firstLine="482" w:firstLineChars="200"/>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7、环境管理要求与环境监测计划</w:t>
            </w:r>
          </w:p>
          <w:p>
            <w:pPr>
              <w:spacing w:line="480" w:lineRule="exact"/>
              <w:ind w:firstLine="482" w:firstLineChars="200"/>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7.1环境管理要求</w:t>
            </w:r>
          </w:p>
          <w:p>
            <w:pPr>
              <w:spacing w:line="460" w:lineRule="exact"/>
              <w:ind w:firstLine="573"/>
              <w:rPr>
                <w:color w:val="000000" w:themeColor="text1"/>
                <w:sz w:val="24"/>
                <w:szCs w:val="20"/>
                <w14:textFill>
                  <w14:solidFill>
                    <w14:schemeClr w14:val="tx1"/>
                  </w14:solidFill>
                </w14:textFill>
              </w:rPr>
            </w:pPr>
            <w:r>
              <w:rPr>
                <w:rFonts w:hAnsi="宋体"/>
                <w:color w:val="000000" w:themeColor="text1"/>
                <w:kern w:val="0"/>
                <w:sz w:val="24"/>
                <w:szCs w:val="28"/>
                <w14:textFill>
                  <w14:solidFill>
                    <w14:schemeClr w14:val="tx1"/>
                  </w14:solidFill>
                </w14:textFill>
              </w:rPr>
              <w:t>加强管理是搞好企业环境保护工作、控制环境污染的重要保证，根据本项目的实际情况，企业可不设专门环保机构，但应有兼职的环保管理人员和</w:t>
            </w:r>
            <w:r>
              <w:rPr>
                <w:color w:val="000000" w:themeColor="text1"/>
                <w:kern w:val="0"/>
                <w:sz w:val="24"/>
                <w:szCs w:val="28"/>
                <w14:textFill>
                  <w14:solidFill>
                    <w14:schemeClr w14:val="tx1"/>
                  </w14:solidFill>
                </w14:textFill>
              </w:rPr>
              <w:t>1</w:t>
            </w:r>
            <w:r>
              <w:rPr>
                <w:rFonts w:hAnsi="宋体"/>
                <w:color w:val="000000" w:themeColor="text1"/>
                <w:kern w:val="0"/>
                <w:sz w:val="24"/>
                <w:szCs w:val="28"/>
                <w14:textFill>
                  <w14:solidFill>
                    <w14:schemeClr w14:val="tx1"/>
                  </w14:solidFill>
                </w14:textFill>
              </w:rPr>
              <w:t>～</w:t>
            </w:r>
            <w:r>
              <w:rPr>
                <w:color w:val="000000" w:themeColor="text1"/>
                <w:kern w:val="0"/>
                <w:sz w:val="24"/>
                <w:szCs w:val="28"/>
                <w14:textFill>
                  <w14:solidFill>
                    <w14:schemeClr w14:val="tx1"/>
                  </w14:solidFill>
                </w14:textFill>
              </w:rPr>
              <w:t xml:space="preserve">2 </w:t>
            </w:r>
            <w:r>
              <w:rPr>
                <w:rFonts w:hAnsi="宋体"/>
                <w:color w:val="000000" w:themeColor="text1"/>
                <w:kern w:val="0"/>
                <w:sz w:val="24"/>
                <w:szCs w:val="28"/>
                <w14:textFill>
                  <w14:solidFill>
                    <w14:schemeClr w14:val="tx1"/>
                  </w14:solidFill>
                </w14:textFill>
              </w:rPr>
              <w:t>名环保措施维护工人，负责治理设施主要是对废气、噪声和固废治理的维护、管理并及时对出现的环境问题进行处理。</w:t>
            </w:r>
            <w:r>
              <w:rPr>
                <w:color w:val="000000" w:themeColor="text1"/>
                <w:sz w:val="24"/>
                <w:szCs w:val="20"/>
                <w14:textFill>
                  <w14:solidFill>
                    <w14:schemeClr w14:val="tx1"/>
                  </w14:solidFill>
                </w14:textFill>
              </w:rPr>
              <w:t>运营期</w:t>
            </w:r>
            <w:r>
              <w:rPr>
                <w:rFonts w:hAnsi="宋体"/>
                <w:color w:val="000000" w:themeColor="text1"/>
                <w:kern w:val="0"/>
                <w:sz w:val="24"/>
                <w:szCs w:val="28"/>
                <w14:textFill>
                  <w14:solidFill>
                    <w14:schemeClr w14:val="tx1"/>
                  </w14:solidFill>
                </w14:textFill>
              </w:rPr>
              <w:t>环保管理人员</w:t>
            </w:r>
            <w:r>
              <w:rPr>
                <w:color w:val="000000" w:themeColor="text1"/>
                <w:sz w:val="24"/>
                <w:szCs w:val="20"/>
                <w14:textFill>
                  <w14:solidFill>
                    <w14:schemeClr w14:val="tx1"/>
                  </w14:solidFill>
                </w14:textFill>
              </w:rPr>
              <w:t>的主要职责包括：</w:t>
            </w:r>
          </w:p>
          <w:p>
            <w:pPr>
              <w:spacing w:line="460" w:lineRule="exact"/>
              <w:ind w:firstLine="573"/>
              <w:rPr>
                <w:color w:val="000000" w:themeColor="text1"/>
                <w:sz w:val="24"/>
                <w:szCs w:val="20"/>
                <w14:textFill>
                  <w14:solidFill>
                    <w14:schemeClr w14:val="tx1"/>
                  </w14:solidFill>
                </w14:textFill>
              </w:rPr>
            </w:pPr>
            <w:r>
              <w:rPr>
                <w:rFonts w:ascii="宋体"/>
                <w:color w:val="000000" w:themeColor="text1"/>
                <w:sz w:val="24"/>
                <w:szCs w:val="20"/>
                <w14:textFill>
                  <w14:solidFill>
                    <w14:schemeClr w14:val="tx1"/>
                  </w14:solidFill>
                </w14:textFill>
              </w:rPr>
              <w:t>①</w:t>
            </w:r>
            <w:r>
              <w:rPr>
                <w:color w:val="000000" w:themeColor="text1"/>
                <w:sz w:val="24"/>
                <w:szCs w:val="20"/>
                <w14:textFill>
                  <w14:solidFill>
                    <w14:schemeClr w14:val="tx1"/>
                  </w14:solidFill>
                </w14:textFill>
              </w:rPr>
              <w:t>贯彻执行国家环境保护的方针、政策、法律、法规；</w:t>
            </w:r>
          </w:p>
          <w:p>
            <w:pPr>
              <w:spacing w:line="460" w:lineRule="exact"/>
              <w:ind w:firstLine="573"/>
              <w:rPr>
                <w:color w:val="000000" w:themeColor="text1"/>
                <w:sz w:val="24"/>
                <w:szCs w:val="20"/>
                <w14:textFill>
                  <w14:solidFill>
                    <w14:schemeClr w14:val="tx1"/>
                  </w14:solidFill>
                </w14:textFill>
              </w:rPr>
            </w:pPr>
            <w:r>
              <w:rPr>
                <w:rFonts w:ascii="宋体"/>
                <w:color w:val="000000" w:themeColor="text1"/>
                <w:sz w:val="24"/>
                <w:szCs w:val="20"/>
                <w14:textFill>
                  <w14:solidFill>
                    <w14:schemeClr w14:val="tx1"/>
                  </w14:solidFill>
                </w14:textFill>
              </w:rPr>
              <w:t>②</w:t>
            </w:r>
            <w:r>
              <w:rPr>
                <w:color w:val="000000" w:themeColor="text1"/>
                <w:sz w:val="24"/>
                <w:szCs w:val="20"/>
                <w14:textFill>
                  <w14:solidFill>
                    <w14:schemeClr w14:val="tx1"/>
                  </w14:solidFill>
                </w14:textFill>
              </w:rPr>
              <w:t>组织制定项目的环境保护规章制度和标准并督促检查执行，制定污染控制及改善环境质量计划；</w:t>
            </w:r>
          </w:p>
          <w:p>
            <w:pPr>
              <w:spacing w:line="460" w:lineRule="exact"/>
              <w:ind w:firstLine="573"/>
              <w:rPr>
                <w:color w:val="000000" w:themeColor="text1"/>
                <w:sz w:val="24"/>
                <w:szCs w:val="20"/>
                <w14:textFill>
                  <w14:solidFill>
                    <w14:schemeClr w14:val="tx1"/>
                  </w14:solidFill>
                </w14:textFill>
              </w:rPr>
            </w:pPr>
            <w:r>
              <w:rPr>
                <w:rFonts w:ascii="宋体"/>
                <w:color w:val="000000" w:themeColor="text1"/>
                <w:sz w:val="24"/>
                <w:szCs w:val="20"/>
                <w14:textFill>
                  <w14:solidFill>
                    <w14:schemeClr w14:val="tx1"/>
                  </w14:solidFill>
                </w14:textFill>
              </w:rPr>
              <w:t>③</w:t>
            </w:r>
            <w:r>
              <w:rPr>
                <w:color w:val="000000" w:themeColor="text1"/>
                <w:sz w:val="24"/>
                <w:szCs w:val="20"/>
                <w14:textFill>
                  <w14:solidFill>
                    <w14:schemeClr w14:val="tx1"/>
                  </w14:solidFill>
                </w14:textFill>
              </w:rPr>
              <w:t>负责组织环境监测、事故防范以及外部协调工作，负责组织突发事故的应急处理的善后事宜；</w:t>
            </w:r>
          </w:p>
          <w:p>
            <w:pPr>
              <w:spacing w:line="460" w:lineRule="exact"/>
              <w:ind w:firstLine="573"/>
              <w:rPr>
                <w:color w:val="000000" w:themeColor="text1"/>
                <w:sz w:val="24"/>
                <w:szCs w:val="20"/>
                <w14:textFill>
                  <w14:solidFill>
                    <w14:schemeClr w14:val="tx1"/>
                  </w14:solidFill>
                </w14:textFill>
              </w:rPr>
            </w:pPr>
            <w:r>
              <w:rPr>
                <w:rFonts w:ascii="宋体"/>
                <w:color w:val="000000" w:themeColor="text1"/>
                <w:sz w:val="24"/>
                <w:szCs w:val="20"/>
                <w14:textFill>
                  <w14:solidFill>
                    <w14:schemeClr w14:val="tx1"/>
                  </w14:solidFill>
                </w14:textFill>
              </w:rPr>
              <w:t>④</w:t>
            </w:r>
            <w:r>
              <w:rPr>
                <w:color w:val="000000" w:themeColor="text1"/>
                <w:sz w:val="24"/>
                <w:szCs w:val="20"/>
                <w14:textFill>
                  <w14:solidFill>
                    <w14:schemeClr w14:val="tx1"/>
                  </w14:solidFill>
                </w14:textFill>
              </w:rPr>
              <w:t>监督“三同时”规定的执行情况，确保环境保护设施与主体工程同时设计、同时施工、同时运行，有效控制污染；</w:t>
            </w:r>
          </w:p>
          <w:p>
            <w:pPr>
              <w:spacing w:line="460" w:lineRule="exact"/>
              <w:ind w:firstLine="573"/>
              <w:rPr>
                <w:color w:val="000000" w:themeColor="text1"/>
                <w:spacing w:val="4"/>
                <w:sz w:val="24"/>
                <w:szCs w:val="20"/>
                <w14:textFill>
                  <w14:solidFill>
                    <w14:schemeClr w14:val="tx1"/>
                  </w14:solidFill>
                </w14:textFill>
              </w:rPr>
            </w:pPr>
            <w:r>
              <w:rPr>
                <w:rFonts w:ascii="宋体"/>
                <w:color w:val="000000" w:themeColor="text1"/>
                <w:sz w:val="24"/>
                <w:szCs w:val="20"/>
                <w14:textFill>
                  <w14:solidFill>
                    <w14:schemeClr w14:val="tx1"/>
                  </w14:solidFill>
                </w14:textFill>
              </w:rPr>
              <w:t>⑤</w:t>
            </w:r>
            <w:r>
              <w:rPr>
                <w:color w:val="000000" w:themeColor="text1"/>
                <w:sz w:val="24"/>
                <w:szCs w:val="20"/>
                <w14:textFill>
                  <w14:solidFill>
                    <w14:schemeClr w14:val="tx1"/>
                  </w14:solidFill>
                </w14:textFill>
              </w:rPr>
              <w:t>检查本项目各环境保护设施的运行。</w:t>
            </w:r>
          </w:p>
          <w:p>
            <w:pPr>
              <w:spacing w:line="480" w:lineRule="exact"/>
              <w:ind w:firstLine="482" w:firstLineChars="200"/>
              <w:jc w:val="left"/>
              <w:rPr>
                <w:rFonts w:hAnsi="宋体"/>
                <w:b/>
                <w:color w:val="000000" w:themeColor="text1"/>
                <w:kern w:val="0"/>
                <w:sz w:val="24"/>
                <w:szCs w:val="28"/>
                <w14:textFill>
                  <w14:solidFill>
                    <w14:schemeClr w14:val="tx1"/>
                  </w14:solidFill>
                </w14:textFill>
              </w:rPr>
            </w:pPr>
            <w:r>
              <w:rPr>
                <w:rFonts w:hint="eastAsia" w:hAnsi="宋体"/>
                <w:b/>
                <w:color w:val="000000" w:themeColor="text1"/>
                <w:kern w:val="0"/>
                <w:sz w:val="24"/>
                <w:szCs w:val="28"/>
                <w14:textFill>
                  <w14:solidFill>
                    <w14:schemeClr w14:val="tx1"/>
                  </w14:solidFill>
                </w14:textFill>
              </w:rPr>
              <w:t>7.2环境监测计划</w:t>
            </w:r>
          </w:p>
          <w:p>
            <w:pPr>
              <w:spacing w:line="480" w:lineRule="exact"/>
              <w:ind w:firstLine="480" w:firstLineChars="200"/>
              <w:rPr>
                <w:rFonts w:ascii="宋体" w:hAnsi="宋体" w:cs="宋体"/>
                <w:color w:val="000000" w:themeColor="text1"/>
                <w:sz w:val="24"/>
                <w14:textFill>
                  <w14:solidFill>
                    <w14:schemeClr w14:val="tx1"/>
                  </w14:solidFill>
                </w14:textFill>
              </w:rPr>
            </w:pPr>
            <w:r>
              <w:rPr>
                <w:color w:val="000000" w:themeColor="text1"/>
                <w:sz w:val="24"/>
                <w14:textFill>
                  <w14:solidFill>
                    <w14:schemeClr w14:val="tx1"/>
                  </w14:solidFill>
                </w14:textFill>
              </w:rPr>
              <w:t>根据《</w:t>
            </w:r>
            <w:r>
              <w:rPr>
                <w:rFonts w:hint="eastAsia"/>
                <w:color w:val="000000" w:themeColor="text1"/>
                <w:sz w:val="24"/>
                <w14:textFill>
                  <w14:solidFill>
                    <w14:schemeClr w14:val="tx1"/>
                  </w14:solidFill>
                </w14:textFill>
              </w:rPr>
              <w:t>排污单位</w:t>
            </w:r>
            <w:r>
              <w:rPr>
                <w:color w:val="000000" w:themeColor="text1"/>
                <w:sz w:val="24"/>
                <w14:textFill>
                  <w14:solidFill>
                    <w14:schemeClr w14:val="tx1"/>
                  </w14:solidFill>
                </w14:textFill>
              </w:rPr>
              <w:t>自行监测技术指南</w:t>
            </w:r>
            <w:r>
              <w:rPr>
                <w:rFonts w:hint="eastAsia"/>
                <w:color w:val="000000" w:themeColor="text1"/>
                <w:sz w:val="24"/>
                <w14:textFill>
                  <w14:solidFill>
                    <w14:schemeClr w14:val="tx1"/>
                  </w14:solidFill>
                </w14:textFill>
              </w:rPr>
              <w:t xml:space="preserve"> 总则</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HJ819-2017</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，结合厂区</w:t>
            </w:r>
            <w:r>
              <w:rPr>
                <w:color w:val="000000" w:themeColor="text1"/>
                <w:sz w:val="24"/>
                <w14:textFill>
                  <w14:solidFill>
                    <w14:schemeClr w14:val="tx1"/>
                  </w14:solidFill>
                </w14:textFill>
              </w:rPr>
              <w:t>内污染物排放的实际情况，制定了本项目环境监测计划。监测内容包括废气污染源监测、厂界噪声监测等。监测点位、监</w:t>
            </w:r>
            <w:r>
              <w:rPr>
                <w:rFonts w:hint="eastAsia" w:ascii="宋体" w:hAnsi="宋体" w:cs="宋体"/>
                <w:color w:val="000000" w:themeColor="text1"/>
                <w:sz w:val="24"/>
                <w14:textFill>
                  <w14:solidFill>
                    <w14:schemeClr w14:val="tx1"/>
                  </w14:solidFill>
                </w14:textFill>
              </w:rPr>
              <w:t>控项目及监测频率的具体情况见表7-17。</w:t>
            </w:r>
          </w:p>
          <w:p>
            <w:pPr>
              <w:spacing w:line="480" w:lineRule="exact"/>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表7-17监控计划表</w:t>
            </w:r>
          </w:p>
          <w:tbl>
            <w:tblPr>
              <w:tblStyle w:val="32"/>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12"/>
              <w:gridCol w:w="1825"/>
              <w:gridCol w:w="1751"/>
              <w:gridCol w:w="1596"/>
              <w:gridCol w:w="1594"/>
              <w:gridCol w:w="1731"/>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36"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项目</w:t>
                  </w:r>
                </w:p>
              </w:tc>
              <w:tc>
                <w:tcPr>
                  <w:tcW w:w="980"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监测点位</w:t>
                  </w:r>
                </w:p>
              </w:tc>
              <w:tc>
                <w:tcPr>
                  <w:tcW w:w="940"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color w:val="000000" w:themeColor="text1"/>
                      <w:kern w:val="2"/>
                      <w:sz w:val="21"/>
                      <w:szCs w:val="21"/>
                      <w14:textFill>
                        <w14:solidFill>
                          <w14:schemeClr w14:val="tx1"/>
                        </w14:solidFill>
                      </w14:textFill>
                    </w:rPr>
                    <w:t>点数</w:t>
                  </w:r>
                </w:p>
              </w:tc>
              <w:tc>
                <w:tcPr>
                  <w:tcW w:w="857"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监控项目</w:t>
                  </w:r>
                </w:p>
              </w:tc>
              <w:tc>
                <w:tcPr>
                  <w:tcW w:w="856"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监测频率</w:t>
                  </w:r>
                </w:p>
              </w:tc>
              <w:tc>
                <w:tcPr>
                  <w:tcW w:w="929"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备注</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3" w:hRule="atLeast"/>
                <w:jc w:val="center"/>
              </w:trPr>
              <w:tc>
                <w:tcPr>
                  <w:tcW w:w="436" w:type="pct"/>
                  <w:vMerge w:val="restar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废</w:t>
                  </w:r>
                </w:p>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气</w:t>
                  </w:r>
                </w:p>
              </w:tc>
              <w:tc>
                <w:tcPr>
                  <w:tcW w:w="980" w:type="pct"/>
                  <w:tcBorders>
                    <w:tl2br w:val="nil"/>
                    <w:tr2bl w:val="nil"/>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破碎工序</w:t>
                  </w:r>
                </w:p>
                <w:p>
                  <w:pPr>
                    <w:pStyle w:val="87"/>
                    <w:spacing w:before="60"/>
                    <w:rPr>
                      <w:color w:val="000000" w:themeColor="text1"/>
                      <w:kern w:val="2"/>
                      <w:sz w:val="21"/>
                      <w14:textFill>
                        <w14:solidFill>
                          <w14:schemeClr w14:val="tx1"/>
                        </w14:solidFill>
                      </w14:textFill>
                    </w:rPr>
                  </w:pPr>
                  <w:r>
                    <w:rPr>
                      <w:color w:val="000000" w:themeColor="text1"/>
                      <w:kern w:val="2"/>
                      <w:sz w:val="21"/>
                      <w:szCs w:val="21"/>
                      <w14:textFill>
                        <w14:solidFill>
                          <w14:schemeClr w14:val="tx1"/>
                        </w14:solidFill>
                      </w14:textFill>
                    </w:rPr>
                    <w:t>除尘设施排气筒</w:t>
                  </w:r>
                </w:p>
              </w:tc>
              <w:tc>
                <w:tcPr>
                  <w:tcW w:w="940" w:type="pct"/>
                  <w:tcBorders>
                    <w:tl2br w:val="nil"/>
                    <w:tr2bl w:val="nil"/>
                  </w:tcBorders>
                  <w:vAlign w:val="center"/>
                </w:tcPr>
                <w:p>
                  <w:pPr>
                    <w:pStyle w:val="87"/>
                    <w:spacing w:before="6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1个</w:t>
                  </w:r>
                </w:p>
              </w:tc>
              <w:tc>
                <w:tcPr>
                  <w:tcW w:w="857" w:type="pct"/>
                  <w:tcBorders>
                    <w:tl2br w:val="nil"/>
                    <w:tr2bl w:val="nil"/>
                  </w:tcBorders>
                  <w:vAlign w:val="center"/>
                </w:tcPr>
                <w:p>
                  <w:pPr>
                    <w:pStyle w:val="87"/>
                    <w:rPr>
                      <w:color w:val="000000" w:themeColor="text1"/>
                      <w:kern w:val="2"/>
                      <w:sz w:val="21"/>
                      <w14:textFill>
                        <w14:solidFill>
                          <w14:schemeClr w14:val="tx1"/>
                        </w14:solidFill>
                      </w14:textFill>
                    </w:rPr>
                  </w:pPr>
                  <w:r>
                    <w:rPr>
                      <w:rFonts w:hint="eastAsia"/>
                      <w:color w:val="000000" w:themeColor="text1"/>
                      <w:kern w:val="2"/>
                      <w:sz w:val="21"/>
                      <w:szCs w:val="21"/>
                      <w14:textFill>
                        <w14:solidFill>
                          <w14:schemeClr w14:val="tx1"/>
                        </w14:solidFill>
                      </w14:textFill>
                    </w:rPr>
                    <w:t>颗粒物</w:t>
                  </w:r>
                </w:p>
              </w:tc>
              <w:tc>
                <w:tcPr>
                  <w:tcW w:w="856" w:type="pct"/>
                  <w:vMerge w:val="restart"/>
                  <w:tcBorders>
                    <w:tl2br w:val="nil"/>
                    <w:tr2bl w:val="nil"/>
                  </w:tcBorders>
                  <w:vAlign w:val="center"/>
                </w:tcPr>
                <w:p>
                  <w:pPr>
                    <w:pStyle w:val="87"/>
                    <w:spacing w:before="60"/>
                    <w:rPr>
                      <w:color w:val="000000" w:themeColor="text1"/>
                      <w:kern w:val="2"/>
                      <w:sz w:val="21"/>
                      <w14:textFill>
                        <w14:solidFill>
                          <w14:schemeClr w14:val="tx1"/>
                        </w14:solidFill>
                      </w14:textFill>
                    </w:rPr>
                  </w:pPr>
                  <w:r>
                    <w:rPr>
                      <w:rFonts w:hint="eastAsia"/>
                      <w:bCs/>
                      <w:color w:val="000000" w:themeColor="text1"/>
                      <w:kern w:val="2"/>
                      <w:sz w:val="21"/>
                      <w14:textFill>
                        <w14:solidFill>
                          <w14:schemeClr w14:val="tx1"/>
                        </w14:solidFill>
                      </w14:textFill>
                    </w:rPr>
                    <w:t>每年监测1次，每次连续2天，每天3次，每次连续1h采样时间</w:t>
                  </w:r>
                </w:p>
              </w:tc>
              <w:tc>
                <w:tcPr>
                  <w:tcW w:w="929" w:type="pct"/>
                  <w:vMerge w:val="restart"/>
                  <w:tcBorders>
                    <w:tl2br w:val="nil"/>
                    <w:tr2bl w:val="nil"/>
                  </w:tcBorders>
                  <w:vAlign w:val="center"/>
                </w:tcPr>
                <w:p>
                  <w:pPr>
                    <w:pStyle w:val="87"/>
                    <w:spacing w:before="60"/>
                    <w:rPr>
                      <w:color w:val="000000" w:themeColor="text1"/>
                      <w:kern w:val="2"/>
                      <w:sz w:val="21"/>
                      <w14:textFill>
                        <w14:solidFill>
                          <w14:schemeClr w14:val="tx1"/>
                        </w14:solidFill>
                      </w14:textFill>
                    </w:rPr>
                  </w:pPr>
                  <w:r>
                    <w:rPr>
                      <w:color w:val="000000" w:themeColor="text1"/>
                      <w:kern w:val="2"/>
                      <w:sz w:val="21"/>
                      <w:szCs w:val="21"/>
                      <w14:textFill>
                        <w14:solidFill>
                          <w14:schemeClr w14:val="tx1"/>
                        </w14:solidFill>
                      </w14:textFill>
                    </w:rPr>
                    <w:t>由企业委托有资质的环境监测机构进行监测</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36" w:type="pct"/>
                  <w:vMerge w:val="continue"/>
                  <w:tcBorders>
                    <w:tl2br w:val="nil"/>
                    <w:tr2bl w:val="nil"/>
                  </w:tcBorders>
                  <w:vAlign w:val="center"/>
                </w:tcPr>
                <w:p>
                  <w:pPr>
                    <w:pStyle w:val="87"/>
                    <w:spacing w:before="60" w:line="240" w:lineRule="auto"/>
                    <w:ind w:firstLine="480"/>
                    <w:rPr>
                      <w:color w:val="000000" w:themeColor="text1"/>
                      <w:kern w:val="2"/>
                      <w:sz w:val="21"/>
                      <w14:textFill>
                        <w14:solidFill>
                          <w14:schemeClr w14:val="tx1"/>
                        </w14:solidFill>
                      </w14:textFill>
                    </w:rPr>
                  </w:pPr>
                </w:p>
              </w:tc>
              <w:tc>
                <w:tcPr>
                  <w:tcW w:w="980"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厂界外1m处</w:t>
                  </w:r>
                </w:p>
              </w:tc>
              <w:tc>
                <w:tcPr>
                  <w:tcW w:w="940"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4个（上风向1个，下风向3个）</w:t>
                  </w:r>
                </w:p>
              </w:tc>
              <w:tc>
                <w:tcPr>
                  <w:tcW w:w="857"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颗粒物</w:t>
                  </w:r>
                </w:p>
              </w:tc>
              <w:tc>
                <w:tcPr>
                  <w:tcW w:w="856" w:type="pct"/>
                  <w:vMerge w:val="continue"/>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p>
              </w:tc>
              <w:tc>
                <w:tcPr>
                  <w:tcW w:w="929" w:type="pct"/>
                  <w:vMerge w:val="continue"/>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436"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噪</w:t>
                  </w:r>
                </w:p>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声</w:t>
                  </w:r>
                </w:p>
              </w:tc>
              <w:tc>
                <w:tcPr>
                  <w:tcW w:w="980"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spacing w:val="-12"/>
                      <w:kern w:val="2"/>
                      <w:sz w:val="21"/>
                      <w14:textFill>
                        <w14:solidFill>
                          <w14:schemeClr w14:val="tx1"/>
                        </w14:solidFill>
                      </w14:textFill>
                    </w:rPr>
                    <w:t>厂界四周</w:t>
                  </w:r>
                </w:p>
              </w:tc>
              <w:tc>
                <w:tcPr>
                  <w:tcW w:w="940"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4个</w:t>
                  </w:r>
                </w:p>
              </w:tc>
              <w:tc>
                <w:tcPr>
                  <w:tcW w:w="857" w:type="pct"/>
                  <w:tcBorders>
                    <w:tl2br w:val="nil"/>
                    <w:tr2bl w:val="nil"/>
                  </w:tcBorders>
                  <w:vAlign w:val="center"/>
                </w:tcPr>
                <w:p>
                  <w:pPr>
                    <w:pStyle w:val="87"/>
                    <w:spacing w:before="60" w:line="240" w:lineRule="auto"/>
                    <w:rPr>
                      <w:color w:val="000000" w:themeColor="text1"/>
                      <w:kern w:val="2"/>
                      <w:sz w:val="21"/>
                      <w:vertAlign w:val="subscript"/>
                      <w14:textFill>
                        <w14:solidFill>
                          <w14:schemeClr w14:val="tx1"/>
                        </w14:solidFill>
                      </w14:textFill>
                    </w:rPr>
                  </w:pPr>
                  <w:r>
                    <w:rPr>
                      <w:color w:val="000000" w:themeColor="text1"/>
                      <w:kern w:val="2"/>
                      <w:sz w:val="21"/>
                      <w:szCs w:val="21"/>
                      <w14:textFill>
                        <w14:solidFill>
                          <w14:schemeClr w14:val="tx1"/>
                        </w14:solidFill>
                      </w14:textFill>
                    </w:rPr>
                    <w:t>等效连续A声级</w:t>
                  </w:r>
                  <w:r>
                    <w:rPr>
                      <w:color w:val="000000" w:themeColor="text1"/>
                      <w:kern w:val="2"/>
                      <w:sz w:val="21"/>
                      <w14:textFill>
                        <w14:solidFill>
                          <w14:schemeClr w14:val="tx1"/>
                        </w14:solidFill>
                      </w14:textFill>
                    </w:rPr>
                    <w:t>Leq（dB(A)）</w:t>
                  </w:r>
                </w:p>
              </w:tc>
              <w:tc>
                <w:tcPr>
                  <w:tcW w:w="856" w:type="pct"/>
                  <w:tcBorders>
                    <w:tl2br w:val="nil"/>
                    <w:tr2bl w:val="nil"/>
                  </w:tcBorders>
                  <w:vAlign w:val="center"/>
                </w:tcPr>
                <w:p>
                  <w:pPr>
                    <w:pStyle w:val="87"/>
                    <w:spacing w:before="60" w:line="240" w:lineRule="auto"/>
                    <w:rPr>
                      <w:color w:val="000000" w:themeColor="text1"/>
                      <w:kern w:val="2"/>
                      <w:sz w:val="21"/>
                      <w14:textFill>
                        <w14:solidFill>
                          <w14:schemeClr w14:val="tx1"/>
                        </w14:solidFill>
                      </w14:textFill>
                    </w:rPr>
                  </w:pPr>
                  <w:r>
                    <w:rPr>
                      <w:rFonts w:hint="eastAsia"/>
                      <w:bCs/>
                      <w:color w:val="000000" w:themeColor="text1"/>
                      <w:kern w:val="2"/>
                      <w:sz w:val="21"/>
                      <w14:textFill>
                        <w14:solidFill>
                          <w14:schemeClr w14:val="tx1"/>
                        </w14:solidFill>
                      </w14:textFill>
                    </w:rPr>
                    <w:t>每年监测1次，每次</w:t>
                  </w:r>
                  <w:r>
                    <w:rPr>
                      <w:bCs/>
                      <w:color w:val="000000" w:themeColor="text1"/>
                      <w:kern w:val="2"/>
                      <w:sz w:val="21"/>
                      <w14:textFill>
                        <w14:solidFill>
                          <w14:schemeClr w14:val="tx1"/>
                        </w14:solidFill>
                      </w14:textFill>
                    </w:rPr>
                    <w:t>监测</w:t>
                  </w:r>
                  <w:r>
                    <w:rPr>
                      <w:rFonts w:hint="eastAsia"/>
                      <w:bCs/>
                      <w:color w:val="000000" w:themeColor="text1"/>
                      <w:kern w:val="2"/>
                      <w:sz w:val="21"/>
                      <w14:textFill>
                        <w14:solidFill>
                          <w14:schemeClr w14:val="tx1"/>
                        </w14:solidFill>
                      </w14:textFill>
                    </w:rPr>
                    <w:t>2</w:t>
                  </w:r>
                  <w:r>
                    <w:rPr>
                      <w:bCs/>
                      <w:color w:val="000000" w:themeColor="text1"/>
                      <w:kern w:val="2"/>
                      <w:sz w:val="21"/>
                      <w14:textFill>
                        <w14:solidFill>
                          <w14:schemeClr w14:val="tx1"/>
                        </w14:solidFill>
                      </w14:textFill>
                    </w:rPr>
                    <w:t>天，昼夜分别测量</w:t>
                  </w:r>
                </w:p>
              </w:tc>
              <w:tc>
                <w:tcPr>
                  <w:tcW w:w="929" w:type="pct"/>
                  <w:tcBorders>
                    <w:tl2br w:val="nil"/>
                    <w:tr2bl w:val="nil"/>
                  </w:tcBorders>
                  <w:vAlign w:val="center"/>
                </w:tcPr>
                <w:p>
                  <w:pPr>
                    <w:pStyle w:val="87"/>
                    <w:spacing w:before="60"/>
                    <w:rPr>
                      <w:color w:val="000000" w:themeColor="text1"/>
                      <w:kern w:val="2"/>
                      <w:sz w:val="21"/>
                      <w14:textFill>
                        <w14:solidFill>
                          <w14:schemeClr w14:val="tx1"/>
                        </w14:solidFill>
                      </w14:textFill>
                    </w:rPr>
                  </w:pPr>
                  <w:r>
                    <w:rPr>
                      <w:color w:val="000000" w:themeColor="text1"/>
                      <w:kern w:val="2"/>
                      <w:sz w:val="21"/>
                      <w:szCs w:val="21"/>
                      <w14:textFill>
                        <w14:solidFill>
                          <w14:schemeClr w14:val="tx1"/>
                        </w14:solidFill>
                      </w14:textFill>
                    </w:rPr>
                    <w:t>由企业委托有资质的环境监测机构进行监测</w:t>
                  </w:r>
                </w:p>
              </w:tc>
            </w:tr>
          </w:tbl>
          <w:p>
            <w:pPr>
              <w:adjustRightInd w:val="0"/>
              <w:snapToGrid w:val="0"/>
              <w:spacing w:line="480" w:lineRule="exact"/>
              <w:ind w:firstLine="482" w:firstLineChars="200"/>
              <w:rPr>
                <w:b/>
                <w:color w:val="000000" w:themeColor="text1"/>
                <w:sz w:val="24"/>
                <w14:textFill>
                  <w14:solidFill>
                    <w14:schemeClr w14:val="tx1"/>
                  </w14:solidFill>
                </w14:textFill>
              </w:rPr>
            </w:pPr>
            <w:r>
              <w:rPr>
                <w:rFonts w:hint="eastAsia" w:hAnsi="宋体"/>
                <w:b/>
                <w:color w:val="000000" w:themeColor="text1"/>
                <w:kern w:val="0"/>
                <w:sz w:val="24"/>
                <w:szCs w:val="28"/>
                <w14:textFill>
                  <w14:solidFill>
                    <w14:schemeClr w14:val="tx1"/>
                  </w14:solidFill>
                </w14:textFill>
              </w:rPr>
              <w:t>7.3</w:t>
            </w:r>
            <w:r>
              <w:rPr>
                <w:rFonts w:hint="eastAsia"/>
                <w:b/>
                <w:bCs/>
                <w:color w:val="000000" w:themeColor="text1"/>
                <w:sz w:val="24"/>
                <w14:textFill>
                  <w14:solidFill>
                    <w14:schemeClr w14:val="tx1"/>
                  </w14:solidFill>
                </w14:textFill>
              </w:rPr>
              <w:t>环境信息公开</w:t>
            </w:r>
          </w:p>
          <w:p>
            <w:pPr>
              <w:adjustRightInd w:val="0"/>
              <w:snapToGrid w:val="0"/>
              <w:spacing w:line="48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企业</w:t>
            </w:r>
            <w:r>
              <w:rPr>
                <w:rFonts w:hint="eastAsia"/>
                <w:color w:val="000000" w:themeColor="text1"/>
                <w:sz w:val="24"/>
                <w14:textFill>
                  <w14:solidFill>
                    <w14:schemeClr w14:val="tx1"/>
                  </w14:solidFill>
                </w14:textFill>
              </w:rPr>
              <w:t>应编写《自行监测年度报告》，报告中应至少涵盖以下内容：</w:t>
            </w:r>
          </w:p>
          <w:p>
            <w:pPr>
              <w:adjustRightInd w:val="0"/>
              <w:snapToGrid w:val="0"/>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、企业基础信息，包括单位名称、组织机构代码、法定代表人、生产地址、联系方式，以及生产经营和管理服务的主要内容、产品及规模</w:t>
            </w:r>
          </w:p>
          <w:p>
            <w:pPr>
              <w:adjustRightInd w:val="0"/>
              <w:snapToGrid w:val="0"/>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、主要生产设施全年运行天数，防治污染设施的建设和运行情况；</w:t>
            </w:r>
          </w:p>
          <w:p>
            <w:pPr>
              <w:adjustRightInd w:val="0"/>
              <w:snapToGrid w:val="0"/>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、排污信息，包括主要污染物及特征污染物的名称、排放方式、排放口数量和分布情况、排放浓度和总量、超标情况，以及执行的污染物排放标准、核定的排放总量以及各监测点、各监测指标全年监测次数；</w:t>
            </w:r>
          </w:p>
          <w:p>
            <w:pPr>
              <w:adjustRightInd w:val="0"/>
              <w:snapToGrid w:val="0"/>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、若监测方案调整，需说明调整变化情况及变更原因。</w:t>
            </w:r>
          </w:p>
          <w:p>
            <w:pPr>
              <w:adjustRightInd w:val="0"/>
              <w:snapToGrid w:val="0"/>
              <w:spacing w:line="480" w:lineRule="exact"/>
              <w:ind w:firstLine="480" w:firstLineChars="200"/>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本项目属于非重点排污单位，具体的环境信息公开情况需按生态环境局的要求进行。</w:t>
            </w:r>
          </w:p>
          <w:p>
            <w:pPr>
              <w:spacing w:line="480" w:lineRule="exact"/>
              <w:ind w:firstLine="482" w:firstLineChars="200"/>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w:t>
            </w:r>
            <w:r>
              <w:rPr>
                <w:rFonts w:hint="eastAsia" w:hAnsi="黑体" w:eastAsia="黑体"/>
                <w:color w:val="000000" w:themeColor="text1"/>
                <w:sz w:val="24"/>
                <w14:textFill>
                  <w14:solidFill>
                    <w14:schemeClr w14:val="tx1"/>
                  </w14:solidFill>
                </w14:textFill>
              </w:rPr>
              <w:t>污染源排放清单</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本项目具体污染源排放清单见表7-15。</w:t>
            </w:r>
          </w:p>
        </w:tc>
      </w:tr>
    </w:tbl>
    <w:p>
      <w:pPr>
        <w:spacing w:line="480" w:lineRule="exact"/>
        <w:rPr>
          <w:color w:val="000000" w:themeColor="text1"/>
          <w:sz w:val="24"/>
          <w14:textFill>
            <w14:solidFill>
              <w14:schemeClr w14:val="tx1"/>
            </w14:solidFill>
          </w14:textFill>
        </w:rPr>
        <w:sectPr>
          <w:pgSz w:w="11906" w:h="16838"/>
          <w:pgMar w:top="1418" w:right="1440" w:bottom="1418" w:left="1440" w:header="851" w:footer="992" w:gutter="0"/>
          <w:cols w:space="425" w:num="1"/>
          <w:docGrid w:type="lines" w:linePitch="312" w:charSpace="0"/>
        </w:sectPr>
      </w:pPr>
    </w:p>
    <w:p>
      <w:pPr>
        <w:spacing w:line="480" w:lineRule="exact"/>
        <w:jc w:val="center"/>
        <w:rPr>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7-15</w:t>
      </w:r>
      <w:r>
        <w:rPr>
          <w:b/>
          <w:color w:val="000000" w:themeColor="text1"/>
          <w:sz w:val="24"/>
          <w14:textFill>
            <w14:solidFill>
              <w14:schemeClr w14:val="tx1"/>
            </w14:solidFill>
          </w14:textFill>
        </w:rPr>
        <w:t>项目排放清单及</w:t>
      </w:r>
      <w:r>
        <w:rPr>
          <w:rFonts w:hint="eastAsia"/>
          <w:b/>
          <w:color w:val="000000" w:themeColor="text1"/>
          <w:sz w:val="24"/>
          <w14:textFill>
            <w14:solidFill>
              <w14:schemeClr w14:val="tx1"/>
            </w14:solidFill>
          </w14:textFill>
        </w:rPr>
        <w:t>管理要求</w:t>
      </w:r>
    </w:p>
    <w:tbl>
      <w:tblPr>
        <w:tblStyle w:val="32"/>
        <w:tblW w:w="1422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28"/>
        <w:gridCol w:w="123"/>
        <w:gridCol w:w="1701"/>
        <w:gridCol w:w="1417"/>
        <w:gridCol w:w="3279"/>
        <w:gridCol w:w="123"/>
        <w:gridCol w:w="2268"/>
        <w:gridCol w:w="159"/>
        <w:gridCol w:w="25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tcBorders>
              <w:top w:val="single" w:color="auto" w:sz="12" w:space="0"/>
              <w:left w:val="single" w:color="auto" w:sz="12"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w:t>
            </w:r>
          </w:p>
        </w:tc>
        <w:tc>
          <w:tcPr>
            <w:tcW w:w="12377" w:type="dxa"/>
            <w:gridSpan w:val="9"/>
            <w:tcBorders>
              <w:top w:val="single" w:color="auto" w:sz="12"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tcBorders>
              <w:top w:val="single" w:color="auto" w:sz="6" w:space="0"/>
              <w:left w:val="single" w:color="auto" w:sz="12"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工程组成</w:t>
            </w:r>
          </w:p>
        </w:tc>
        <w:tc>
          <w:tcPr>
            <w:tcW w:w="12377" w:type="dxa"/>
            <w:gridSpan w:val="9"/>
            <w:tcBorders>
              <w:top w:val="single" w:color="auto" w:sz="6" w:space="0"/>
              <w:left w:val="single" w:color="auto" w:sz="6" w:space="0"/>
              <w:bottom w:val="single" w:color="auto" w:sz="6" w:space="0"/>
              <w:right w:val="single" w:color="auto" w:sz="12" w:space="0"/>
            </w:tcBorders>
            <w:vAlign w:val="center"/>
          </w:tcPr>
          <w:p>
            <w:pPr>
              <w:ind w:firstLine="420" w:firstLineChars="200"/>
              <w:rPr>
                <w:rFonts w:ascii="Calibri" w:hAnsi="Calibri" w:cs="宋体"/>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本项目位于山西省忻州市宁武县凤凰镇前石湖村约东南560m，本项目主要为生产车间、破碎车间、原料堆场、成品库和办公生活区及相关环保设施的建设，购置破碎机、粘合剂添加器、双轴搅拌机、煤球机等，配套消防、供电、供水等设施，建成全厂生产年产50万吨的型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tcBorders>
              <w:top w:val="single" w:color="auto" w:sz="6" w:space="0"/>
              <w:left w:val="single" w:color="auto" w:sz="12"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原辅材料</w:t>
            </w:r>
          </w:p>
        </w:tc>
        <w:tc>
          <w:tcPr>
            <w:tcW w:w="12377" w:type="dxa"/>
            <w:gridSpan w:val="9"/>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精煤25万t/a、兰炭末22万</w:t>
            </w:r>
            <w:r>
              <w:rPr>
                <w:color w:val="000000" w:themeColor="text1"/>
                <w:szCs w:val="21"/>
                <w14:textFill>
                  <w14:solidFill>
                    <w14:schemeClr w14:val="tx1"/>
                  </w14:solidFill>
                </w14:textFill>
              </w:rPr>
              <w:t>t/a</w:t>
            </w:r>
            <w:r>
              <w:rPr>
                <w:rFonts w:hint="eastAsia"/>
                <w:color w:val="000000" w:themeColor="text1"/>
                <w:szCs w:val="21"/>
                <w14:textFill>
                  <w14:solidFill>
                    <w14:schemeClr w14:val="tx1"/>
                  </w14:solidFill>
                </w14:textFill>
              </w:rPr>
              <w:t>、粘结剂2万t/a、固硫剂3万t/a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13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环保措施</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污染物名称</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防治措施</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排放情况</w:t>
            </w:r>
          </w:p>
        </w:tc>
        <w:tc>
          <w:tcPr>
            <w:tcW w:w="2738" w:type="dxa"/>
            <w:gridSpan w:val="2"/>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72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w:t>
            </w:r>
          </w:p>
        </w:tc>
        <w:tc>
          <w:tcPr>
            <w:tcW w:w="182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原料、成品运输</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14:textFill>
                  <w14:solidFill>
                    <w14:schemeClr w14:val="tx1"/>
                  </w14:solidFill>
                </w14:textFill>
              </w:rPr>
            </w:pPr>
            <w:r>
              <w:rPr>
                <w:rFonts w:hAnsi="宋体"/>
                <w:color w:val="000000" w:themeColor="text1"/>
                <w:spacing w:val="4"/>
                <w:szCs w:val="21"/>
                <w14:textFill>
                  <w14:solidFill>
                    <w14:schemeClr w14:val="tx1"/>
                  </w14:solidFill>
                </w14:textFill>
              </w:rPr>
              <w:t>限制汽车超载超速、运输车辆加盖篷布、</w:t>
            </w:r>
            <w:r>
              <w:rPr>
                <w:color w:val="000000" w:themeColor="text1"/>
                <w:szCs w:val="21"/>
                <w14:textFill>
                  <w14:solidFill>
                    <w14:schemeClr w14:val="tx1"/>
                  </w14:solidFill>
                </w14:textFill>
              </w:rPr>
              <w:t>道路定期洒水抑尘</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粉尘：0.33</w:t>
            </w:r>
            <w:r>
              <w:rPr>
                <w:color w:val="000000" w:themeColor="text1"/>
                <w:szCs w:val="21"/>
                <w14:textFill>
                  <w14:solidFill>
                    <w14:schemeClr w14:val="tx1"/>
                  </w14:solidFill>
                </w14:textFill>
              </w:rPr>
              <w:t>t/a</w:t>
            </w:r>
          </w:p>
        </w:tc>
        <w:tc>
          <w:tcPr>
            <w:tcW w:w="2738" w:type="dxa"/>
            <w:gridSpan w:val="2"/>
            <w:vMerge w:val="restart"/>
            <w:tcBorders>
              <w:top w:val="single" w:color="auto" w:sz="6" w:space="0"/>
              <w:left w:val="single" w:color="auto" w:sz="6" w:space="0"/>
              <w:bottom w:val="single" w:color="auto" w:sz="6" w:space="0"/>
              <w:right w:val="single" w:color="auto" w:sz="12" w:space="0"/>
            </w:tcBorders>
            <w:vAlign w:val="center"/>
          </w:tcPr>
          <w:p>
            <w:pPr>
              <w:jc w:val="center"/>
              <w:rPr>
                <w:rFonts w:cs="宋体"/>
                <w:bCs/>
                <w:color w:val="000000" w:themeColor="text1"/>
                <w:szCs w:val="21"/>
                <w14:textFill>
                  <w14:solidFill>
                    <w14:schemeClr w14:val="tx1"/>
                  </w14:solidFill>
                </w14:textFill>
              </w:rPr>
            </w:pPr>
            <w:r>
              <w:rPr>
                <w:rFonts w:hint="eastAsia"/>
                <w:color w:val="000000" w:themeColor="text1"/>
                <w:spacing w:val="4"/>
                <w:szCs w:val="21"/>
                <w14:textFill>
                  <w14:solidFill>
                    <w14:schemeClr w14:val="tx1"/>
                  </w14:solidFill>
                </w14:textFill>
              </w:rPr>
              <w:t>《煤炭工业污染物排放标准》（</w:t>
            </w:r>
            <w:r>
              <w:rPr>
                <w:color w:val="000000" w:themeColor="text1"/>
                <w:spacing w:val="4"/>
                <w:szCs w:val="21"/>
                <w14:textFill>
                  <w14:solidFill>
                    <w14:schemeClr w14:val="tx1"/>
                  </w14:solidFill>
                </w14:textFill>
              </w:rPr>
              <w:t>GB20426</w:t>
            </w:r>
            <w:r>
              <w:rPr>
                <w:rFonts w:hint="eastAsia"/>
                <w:color w:val="000000" w:themeColor="text1"/>
                <w:spacing w:val="4"/>
                <w:szCs w:val="21"/>
                <w14:textFill>
                  <w14:solidFill>
                    <w14:schemeClr w14:val="tx1"/>
                  </w14:solidFill>
                </w14:textFill>
              </w:rPr>
              <w:t>－</w:t>
            </w:r>
            <w:r>
              <w:rPr>
                <w:color w:val="000000" w:themeColor="text1"/>
                <w:spacing w:val="4"/>
                <w:szCs w:val="21"/>
                <w14:textFill>
                  <w14:solidFill>
                    <w14:schemeClr w14:val="tx1"/>
                  </w14:solidFill>
                </w14:textFill>
              </w:rPr>
              <w:t>2006</w:t>
            </w:r>
            <w:r>
              <w:rPr>
                <w:rFonts w:hint="eastAsia"/>
                <w:color w:val="000000" w:themeColor="text1"/>
                <w:spacing w:val="4"/>
                <w:szCs w:val="21"/>
                <w14:textFill>
                  <w14:solidFill>
                    <w14:schemeClr w14:val="tx1"/>
                  </w14:solidFill>
                </w14:textFill>
              </w:rPr>
              <w:t>）表</w:t>
            </w:r>
            <w:r>
              <w:rPr>
                <w:color w:val="000000" w:themeColor="text1"/>
                <w:spacing w:val="4"/>
                <w:szCs w:val="21"/>
                <w14:textFill>
                  <w14:solidFill>
                    <w14:schemeClr w14:val="tx1"/>
                  </w14:solidFill>
                </w14:textFill>
              </w:rPr>
              <w:t>4</w:t>
            </w:r>
            <w:r>
              <w:rPr>
                <w:rFonts w:hint="eastAsia"/>
                <w:color w:val="000000" w:themeColor="text1"/>
                <w:spacing w:val="4"/>
                <w:szCs w:val="21"/>
                <w14:textFill>
                  <w14:solidFill>
                    <w14:schemeClr w14:val="tx1"/>
                  </w14:solidFill>
                </w14:textFill>
              </w:rPr>
              <w:t>和表</w:t>
            </w:r>
            <w:r>
              <w:rPr>
                <w:color w:val="000000" w:themeColor="text1"/>
                <w:spacing w:val="4"/>
                <w:szCs w:val="21"/>
                <w14:textFill>
                  <w14:solidFill>
                    <w14:schemeClr w14:val="tx1"/>
                  </w14:solidFill>
                </w14:textFill>
              </w:rPr>
              <w:t>5</w:t>
            </w:r>
            <w:r>
              <w:rPr>
                <w:rFonts w:hint="eastAsia"/>
                <w:color w:val="000000" w:themeColor="text1"/>
                <w:spacing w:val="4"/>
                <w:szCs w:val="21"/>
                <w14:textFill>
                  <w14:solidFill>
                    <w14:schemeClr w14:val="tx1"/>
                  </w14:solidFill>
                </w14:textFill>
              </w:rPr>
              <w:t>规定的限值要求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7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破碎工序</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破碎机进出料口安装集气罩，采用2个集气罩+高效布袋除尘器（1套）进行处理，集尘效率可达99%，除尘效率达99%。处理后的</w:t>
            </w:r>
            <w:r>
              <w:rPr>
                <w:bCs/>
                <w:color w:val="000000" w:themeColor="text1"/>
                <w:szCs w:val="21"/>
                <w14:textFill>
                  <w14:solidFill>
                    <w14:schemeClr w14:val="tx1"/>
                  </w14:solidFill>
                </w14:textFill>
              </w:rPr>
              <w:t>废气通过</w:t>
            </w:r>
            <w:r>
              <w:rPr>
                <w:rFonts w:hint="eastAsia"/>
                <w:bCs/>
                <w:color w:val="000000" w:themeColor="text1"/>
                <w:szCs w:val="21"/>
                <w14:textFill>
                  <w14:solidFill>
                    <w14:schemeClr w14:val="tx1"/>
                  </w14:solidFill>
                </w14:textFill>
              </w:rPr>
              <w:t>15</w:t>
            </w:r>
            <w:r>
              <w:rPr>
                <w:bCs/>
                <w:color w:val="000000" w:themeColor="text1"/>
                <w:szCs w:val="21"/>
                <w14:textFill>
                  <w14:solidFill>
                    <w14:schemeClr w14:val="tx1"/>
                  </w14:solidFill>
                </w14:textFill>
              </w:rPr>
              <w:t>m高的排气筒外排</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粉尘：20</w:t>
            </w:r>
            <w:r>
              <w:rPr>
                <w:color w:val="000000" w:themeColor="text1"/>
                <w:szCs w:val="21"/>
                <w14:textFill>
                  <w14:solidFill>
                    <w14:schemeClr w14:val="tx1"/>
                  </w14:solidFill>
                </w14:textFill>
              </w:rPr>
              <w:t>mg/m</w:t>
            </w:r>
            <w:r>
              <w:rPr>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，0.96</w:t>
            </w:r>
            <w:r>
              <w:rPr>
                <w:color w:val="000000" w:themeColor="text1"/>
                <w:szCs w:val="21"/>
                <w14:textFill>
                  <w14:solidFill>
                    <w14:schemeClr w14:val="tx1"/>
                  </w14:solidFill>
                </w14:textFill>
              </w:rPr>
              <w:t>t/a</w:t>
            </w:r>
          </w:p>
        </w:tc>
        <w:tc>
          <w:tcPr>
            <w:tcW w:w="2738"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728" w:type="dxa"/>
            <w:vMerge w:val="restart"/>
            <w:tcBorders>
              <w:top w:val="single" w:color="auto" w:sz="6" w:space="0"/>
              <w:left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废水</w:t>
            </w:r>
          </w:p>
        </w:tc>
        <w:tc>
          <w:tcPr>
            <w:tcW w:w="182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生活污水</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pacing w:val="-2"/>
                <w:szCs w:val="21"/>
                <w14:textFill>
                  <w14:solidFill>
                    <w14:schemeClr w14:val="tx1"/>
                  </w14:solidFill>
                </w14:textFill>
              </w:rPr>
            </w:pPr>
            <w:r>
              <w:rPr>
                <w:color w:val="000000" w:themeColor="text1"/>
                <w:szCs w:val="21"/>
                <w14:textFill>
                  <w14:solidFill>
                    <w14:schemeClr w14:val="tx1"/>
                  </w14:solidFill>
                </w14:textFill>
              </w:rPr>
              <w:t>用于厂区洒水抑尘</w:t>
            </w:r>
          </w:p>
        </w:tc>
        <w:tc>
          <w:tcPr>
            <w:tcW w:w="226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2738" w:type="dxa"/>
            <w:gridSpan w:val="2"/>
            <w:vMerge w:val="restart"/>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728" w:type="dxa"/>
            <w:vMerge w:val="continue"/>
            <w:tcBorders>
              <w:left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洗车</w:t>
            </w:r>
            <w:r>
              <w:rPr>
                <w:color w:val="000000" w:themeColor="text1"/>
                <w:szCs w:val="21"/>
                <w14:textFill>
                  <w14:solidFill>
                    <w14:schemeClr w14:val="tx1"/>
                  </w14:solidFill>
                </w14:textFill>
              </w:rPr>
              <w:t>废水</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color w:val="000000" w:themeColor="text1"/>
                <w:szCs w:val="21"/>
                <w:highlight w:val="yellow"/>
                <w14:textFill>
                  <w14:solidFill>
                    <w14:schemeClr w14:val="tx1"/>
                  </w14:solidFill>
                </w14:textFill>
              </w:rPr>
            </w:pPr>
            <w:r>
              <w:rPr>
                <w:rFonts w:hint="eastAsia"/>
                <w:color w:val="000000" w:themeColor="text1"/>
                <w:szCs w:val="21"/>
                <w:highlight w:val="none"/>
                <w14:textFill>
                  <w14:solidFill>
                    <w14:schemeClr w14:val="tx1"/>
                  </w14:solidFill>
                </w14:textFill>
              </w:rPr>
              <w:t>设1座</w:t>
            </w:r>
            <w:r>
              <w:rPr>
                <w:rFonts w:hint="eastAsia"/>
                <w:color w:val="000000" w:themeColor="text1"/>
                <w:szCs w:val="21"/>
                <w:highlight w:val="none"/>
                <w:lang w:val="en-US" w:eastAsia="zh-CN"/>
                <w14:textFill>
                  <w14:solidFill>
                    <w14:schemeClr w14:val="tx1"/>
                  </w14:solidFill>
                </w14:textFill>
              </w:rPr>
              <w:t>5</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沉淀池进行循环使用</w:t>
            </w:r>
          </w:p>
        </w:tc>
        <w:tc>
          <w:tcPr>
            <w:tcW w:w="226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2738" w:type="dxa"/>
            <w:gridSpan w:val="2"/>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728" w:type="dxa"/>
            <w:vMerge w:val="continue"/>
            <w:tcBorders>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初期雨水</w:t>
            </w:r>
          </w:p>
        </w:tc>
        <w:tc>
          <w:tcPr>
            <w:tcW w:w="4819" w:type="dxa"/>
            <w:gridSpan w:val="3"/>
            <w:tcBorders>
              <w:top w:val="single" w:color="auto" w:sz="6" w:space="0"/>
              <w:left w:val="single" w:color="auto" w:sz="6" w:space="0"/>
              <w:bottom w:val="single" w:color="auto" w:sz="6" w:space="0"/>
              <w:right w:val="single" w:color="auto" w:sz="6" w:space="0"/>
            </w:tcBorders>
          </w:tcPr>
          <w:p>
            <w:pPr>
              <w:spacing w:line="28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建设1座容积为100m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的防渗结构雨水收集池，收集厂区前10min的初期雨水，雨水经其收集沉淀后可用于厂区降尘洒水</w:t>
            </w:r>
          </w:p>
        </w:tc>
        <w:tc>
          <w:tcPr>
            <w:tcW w:w="2268"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0</w:t>
            </w:r>
          </w:p>
        </w:tc>
        <w:tc>
          <w:tcPr>
            <w:tcW w:w="2738" w:type="dxa"/>
            <w:gridSpan w:val="2"/>
            <w:tcBorders>
              <w:top w:val="single" w:color="auto" w:sz="6" w:space="0"/>
              <w:left w:val="single" w:color="auto" w:sz="6" w:space="0"/>
              <w:bottom w:val="single" w:color="auto" w:sz="6" w:space="0"/>
              <w:right w:val="single" w:color="auto" w:sz="12" w:space="0"/>
            </w:tcBorders>
            <w:vAlign w:val="center"/>
          </w:tcPr>
          <w:p>
            <w:pPr>
              <w:widowControl/>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72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固废</w:t>
            </w:r>
          </w:p>
        </w:tc>
        <w:tc>
          <w:tcPr>
            <w:tcW w:w="1824"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除尘灰</w:t>
            </w:r>
          </w:p>
        </w:tc>
        <w:tc>
          <w:tcPr>
            <w:tcW w:w="4819" w:type="dxa"/>
            <w:gridSpan w:val="3"/>
            <w:tcBorders>
              <w:top w:val="single" w:color="auto" w:sz="6" w:space="0"/>
              <w:left w:val="single" w:color="auto" w:sz="6" w:space="0"/>
              <w:bottom w:val="single" w:color="auto" w:sz="4" w:space="0"/>
              <w:right w:val="single" w:color="auto" w:sz="6" w:space="0"/>
            </w:tcBorders>
            <w:vAlign w:val="center"/>
          </w:tcPr>
          <w:p>
            <w:pPr>
              <w:spacing w:line="28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收集后作为</w:t>
            </w:r>
            <w:r>
              <w:rPr>
                <w:rFonts w:hint="eastAsia"/>
                <w:color w:val="000000" w:themeColor="text1"/>
                <w:szCs w:val="21"/>
                <w14:textFill>
                  <w14:solidFill>
                    <w14:schemeClr w14:val="tx1"/>
                  </w14:solidFill>
                </w14:textFill>
              </w:rPr>
              <w:t>生产原料用于生产系统</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95.04</w:t>
            </w:r>
            <w:r>
              <w:rPr>
                <w:color w:val="000000" w:themeColor="text1"/>
                <w:szCs w:val="21"/>
                <w14:textFill>
                  <w14:solidFill>
                    <w14:schemeClr w14:val="tx1"/>
                  </w14:solidFill>
                </w14:textFill>
              </w:rPr>
              <w:t>t/a</w:t>
            </w:r>
          </w:p>
        </w:tc>
        <w:tc>
          <w:tcPr>
            <w:tcW w:w="2738" w:type="dxa"/>
            <w:gridSpan w:val="2"/>
            <w:vMerge w:val="restart"/>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《一般工业固体废物贮存、处置场污染控制标准》及（</w:t>
            </w:r>
            <w:r>
              <w:rPr>
                <w:color w:val="000000" w:themeColor="text1"/>
                <w:szCs w:val="21"/>
                <w14:textFill>
                  <w14:solidFill>
                    <w14:schemeClr w14:val="tx1"/>
                  </w14:solidFill>
                </w14:textFill>
              </w:rPr>
              <w:t>2013</w:t>
            </w:r>
            <w:r>
              <w:rPr>
                <w:rFonts w:hint="eastAsia"/>
                <w:color w:val="000000" w:themeColor="text1"/>
                <w:szCs w:val="21"/>
                <w14:textFill>
                  <w14:solidFill>
                    <w14:schemeClr w14:val="tx1"/>
                  </w14:solidFill>
                </w14:textFill>
              </w:rPr>
              <w:t>修改单）</w:t>
            </w:r>
            <w:r>
              <w:rPr>
                <w:color w:val="000000" w:themeColor="text1"/>
                <w:szCs w:val="21"/>
                <w14:textFill>
                  <w14:solidFill>
                    <w14:schemeClr w14:val="tx1"/>
                  </w14:solidFill>
                </w14:textFill>
              </w:rPr>
              <w:t>(GB18599-2001)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7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4819" w:type="dxa"/>
            <w:gridSpan w:val="3"/>
            <w:tcBorders>
              <w:top w:val="single" w:color="auto" w:sz="6" w:space="0"/>
              <w:left w:val="single" w:color="auto" w:sz="6" w:space="0"/>
              <w:bottom w:val="single" w:color="auto" w:sz="4" w:space="0"/>
              <w:right w:val="single" w:color="auto" w:sz="6" w:space="0"/>
            </w:tcBorders>
            <w:vAlign w:val="center"/>
          </w:tcPr>
          <w:p>
            <w:pPr>
              <w:adjustRightInd w:val="0"/>
              <w:snapToGrid w:val="0"/>
              <w:spacing w:line="280" w:lineRule="exac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垃圾桶集中收集后</w:t>
            </w:r>
            <w:r>
              <w:rPr>
                <w:rFonts w:hint="eastAsia"/>
                <w:color w:val="000000" w:themeColor="text1"/>
                <w:spacing w:val="6"/>
                <w:szCs w:val="21"/>
                <w14:textFill>
                  <w14:solidFill>
                    <w14:schemeClr w14:val="tx1"/>
                  </w14:solidFill>
                </w14:textFill>
              </w:rPr>
              <w:t>送环卫部门处置</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r>
              <w:rPr>
                <w:color w:val="000000" w:themeColor="text1"/>
                <w:szCs w:val="21"/>
                <w14:textFill>
                  <w14:solidFill>
                    <w14:schemeClr w14:val="tx1"/>
                  </w14:solidFill>
                </w14:textFill>
              </w:rPr>
              <w:t>t/a</w:t>
            </w:r>
          </w:p>
        </w:tc>
        <w:tc>
          <w:tcPr>
            <w:tcW w:w="2738"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72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噪声</w:t>
            </w:r>
          </w:p>
        </w:tc>
        <w:tc>
          <w:tcPr>
            <w:tcW w:w="1824"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生产设备</w:t>
            </w:r>
          </w:p>
        </w:tc>
        <w:tc>
          <w:tcPr>
            <w:tcW w:w="4819" w:type="dxa"/>
            <w:gridSpan w:val="3"/>
            <w:tcBorders>
              <w:top w:val="single" w:color="auto" w:sz="4" w:space="0"/>
              <w:left w:val="single" w:color="auto" w:sz="6" w:space="0"/>
              <w:bottom w:val="single" w:color="auto" w:sz="6" w:space="0"/>
              <w:right w:val="single" w:color="auto" w:sz="6" w:space="0"/>
            </w:tcBorders>
            <w:vAlign w:val="center"/>
          </w:tcPr>
          <w:p>
            <w:pP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使用低噪声设备，基础减振，厂房隔音、绿化降噪等</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32.15～40.25</w:t>
            </w:r>
            <w:r>
              <w:rPr>
                <w:color w:val="000000" w:themeColor="text1"/>
                <w:szCs w:val="21"/>
                <w14:textFill>
                  <w14:solidFill>
                    <w14:schemeClr w14:val="tx1"/>
                  </w14:solidFill>
                </w14:textFill>
              </w:rPr>
              <w:t>dB(A)</w:t>
            </w:r>
          </w:p>
        </w:tc>
        <w:tc>
          <w:tcPr>
            <w:tcW w:w="2738" w:type="dxa"/>
            <w:gridSpan w:val="2"/>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《工业企业厂界环境噪声排放标准》（</w:t>
            </w:r>
            <w:r>
              <w:rPr>
                <w:color w:val="000000" w:themeColor="text1"/>
                <w:szCs w:val="21"/>
                <w14:textFill>
                  <w14:solidFill>
                    <w14:schemeClr w14:val="tx1"/>
                  </w14:solidFill>
                </w14:textFill>
              </w:rPr>
              <w:t>GB12348-2008</w:t>
            </w:r>
            <w:r>
              <w:rPr>
                <w:rFonts w:hint="eastAsia"/>
                <w:color w:val="000000" w:themeColor="text1"/>
                <w:szCs w:val="21"/>
                <w14:textFill>
                  <w14:solidFill>
                    <w14:schemeClr w14:val="tx1"/>
                  </w14:solidFill>
                </w14:textFill>
              </w:rPr>
              <w:t>）中</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13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执行环境标准</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大气环境</w:t>
            </w:r>
          </w:p>
        </w:tc>
        <w:tc>
          <w:tcPr>
            <w:tcW w:w="9825" w:type="dxa"/>
            <w:gridSpan w:val="6"/>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执行《环境空气质量标准》（</w:t>
            </w:r>
            <w:r>
              <w:rPr>
                <w:color w:val="000000" w:themeColor="text1"/>
                <w:szCs w:val="21"/>
                <w14:textFill>
                  <w14:solidFill>
                    <w14:schemeClr w14:val="tx1"/>
                  </w14:solidFill>
                </w14:textFill>
              </w:rPr>
              <w:t>GB3095-2012</w:t>
            </w:r>
            <w:r>
              <w:rPr>
                <w:rFonts w:hint="eastAsia"/>
                <w:color w:val="000000" w:themeColor="text1"/>
                <w:szCs w:val="21"/>
                <w14:textFill>
                  <w14:solidFill>
                    <w14:schemeClr w14:val="tx1"/>
                  </w14:solidFill>
                </w14:textFill>
              </w:rPr>
              <w:t>）中二级标准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地表水环境</w:t>
            </w:r>
          </w:p>
        </w:tc>
        <w:tc>
          <w:tcPr>
            <w:tcW w:w="9825" w:type="dxa"/>
            <w:gridSpan w:val="6"/>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执行《地表水环境质量标准》（</w:t>
            </w:r>
            <w:r>
              <w:rPr>
                <w:color w:val="000000" w:themeColor="text1"/>
                <w:szCs w:val="21"/>
                <w14:textFill>
                  <w14:solidFill>
                    <w14:schemeClr w14:val="tx1"/>
                  </w14:solidFill>
                </w14:textFill>
              </w:rPr>
              <w:t>GB3838-2002</w:t>
            </w:r>
            <w:r>
              <w:rPr>
                <w:rFonts w:hint="eastAsia"/>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Ⅱ</w:t>
            </w:r>
            <w:r>
              <w:rPr>
                <w:rFonts w:hint="eastAsia"/>
                <w:color w:val="000000" w:themeColor="text1"/>
                <w:szCs w:val="21"/>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地下水环境</w:t>
            </w:r>
          </w:p>
        </w:tc>
        <w:tc>
          <w:tcPr>
            <w:tcW w:w="9825" w:type="dxa"/>
            <w:gridSpan w:val="6"/>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执行《地下水质量标准》</w:t>
            </w:r>
            <w:r>
              <w:rPr>
                <w:bCs/>
                <w:color w:val="000000" w:themeColor="text1"/>
                <w:szCs w:val="21"/>
                <w14:textFill>
                  <w14:solidFill>
                    <w14:schemeClr w14:val="tx1"/>
                  </w14:solidFill>
                </w14:textFill>
              </w:rPr>
              <w:t>(GB/T14848-2017)</w:t>
            </w:r>
            <w:r>
              <w:rPr>
                <w:rFonts w:hint="eastAsia"/>
                <w:bCs/>
                <w:color w:val="000000" w:themeColor="text1"/>
                <w:szCs w:val="21"/>
                <w14:textFill>
                  <w14:solidFill>
                    <w14:schemeClr w14:val="tx1"/>
                  </w14:solidFill>
                </w14:textFill>
              </w:rPr>
              <w:t>Ⅲ类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声环境</w:t>
            </w:r>
          </w:p>
        </w:tc>
        <w:tc>
          <w:tcPr>
            <w:tcW w:w="9825" w:type="dxa"/>
            <w:gridSpan w:val="6"/>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执行《声环境质量标准》（</w:t>
            </w:r>
            <w:r>
              <w:rPr>
                <w:bCs/>
                <w:color w:val="000000" w:themeColor="text1"/>
                <w:szCs w:val="21"/>
                <w14:textFill>
                  <w14:solidFill>
                    <w14:schemeClr w14:val="tx1"/>
                  </w14:solidFill>
                </w14:textFill>
              </w:rPr>
              <w:t>GB3096- 2008</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2</w:t>
            </w:r>
            <w:r>
              <w:rPr>
                <w:rFonts w:hint="eastAsia"/>
                <w:bCs/>
                <w:color w:val="000000" w:themeColor="text1"/>
                <w:szCs w:val="21"/>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restart"/>
            <w:tcBorders>
              <w:top w:val="single" w:color="auto" w:sz="6" w:space="0"/>
              <w:left w:val="single" w:color="auto" w:sz="12" w:space="0"/>
              <w:bottom w:val="single" w:color="auto" w:sz="12" w:space="0"/>
              <w:right w:val="single" w:color="auto" w:sz="6" w:space="0"/>
            </w:tcBorders>
            <w:vAlign w:val="center"/>
          </w:tcPr>
          <w:p>
            <w:pPr>
              <w:jc w:val="center"/>
              <w:rPr>
                <w:rFonts w:cs="宋体"/>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134" w:type="dxa"/>
            <w:vMerge w:val="restart"/>
            <w:tcBorders>
              <w:top w:val="single" w:color="auto" w:sz="6" w:space="0"/>
              <w:left w:val="single" w:color="auto" w:sz="6" w:space="0"/>
              <w:bottom w:val="single" w:color="auto" w:sz="12"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环境污染源监测</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w:t>
            </w:r>
          </w:p>
        </w:tc>
        <w:tc>
          <w:tcPr>
            <w:tcW w:w="3118"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监测点位</w:t>
            </w:r>
          </w:p>
        </w:tc>
        <w:tc>
          <w:tcPr>
            <w:tcW w:w="327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监测项目</w:t>
            </w:r>
          </w:p>
        </w:tc>
        <w:tc>
          <w:tcPr>
            <w:tcW w:w="2550"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监测频率</w:t>
            </w:r>
          </w:p>
        </w:tc>
        <w:tc>
          <w:tcPr>
            <w:tcW w:w="2579" w:type="dxa"/>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监测单位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851" w:type="dxa"/>
            <w:gridSpan w:val="2"/>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w:t>
            </w:r>
          </w:p>
        </w:tc>
        <w:tc>
          <w:tcPr>
            <w:tcW w:w="311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破碎工序</w:t>
            </w:r>
            <w:r>
              <w:rPr>
                <w:color w:val="000000" w:themeColor="text1"/>
                <w:szCs w:val="21"/>
                <w14:textFill>
                  <w14:solidFill>
                    <w14:schemeClr w14:val="tx1"/>
                  </w14:solidFill>
                </w14:textFill>
              </w:rPr>
              <w:t>除尘设施排气筒</w:t>
            </w:r>
          </w:p>
        </w:tc>
        <w:tc>
          <w:tcPr>
            <w:tcW w:w="327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2550" w:type="dxa"/>
            <w:gridSpan w:val="3"/>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每年监测</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次，连续</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天，每天</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次</w:t>
            </w:r>
          </w:p>
        </w:tc>
        <w:tc>
          <w:tcPr>
            <w:tcW w:w="2579" w:type="dxa"/>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委托第三方监测单位监测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851"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3118"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厂界</w:t>
            </w:r>
          </w:p>
        </w:tc>
        <w:tc>
          <w:tcPr>
            <w:tcW w:w="327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255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2579" w:type="dxa"/>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委托第三方监测单位监测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14:textFill>
                  <w14:solidFill>
                    <w14:schemeClr w14:val="tx1"/>
                  </w14:solidFill>
                </w14:textFill>
              </w:rPr>
            </w:pPr>
          </w:p>
        </w:tc>
        <w:tc>
          <w:tcPr>
            <w:tcW w:w="851"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噪声</w:t>
            </w:r>
          </w:p>
        </w:tc>
        <w:tc>
          <w:tcPr>
            <w:tcW w:w="3118"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厂界四周</w:t>
            </w:r>
          </w:p>
        </w:tc>
        <w:tc>
          <w:tcPr>
            <w:tcW w:w="327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等效</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声级</w:t>
            </w:r>
          </w:p>
        </w:tc>
        <w:tc>
          <w:tcPr>
            <w:tcW w:w="2550"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每季度一次</w:t>
            </w:r>
          </w:p>
        </w:tc>
        <w:tc>
          <w:tcPr>
            <w:tcW w:w="2579" w:type="dxa"/>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委托第三方监测单位监测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709" w:type="dxa"/>
            <w:vMerge w:val="restart"/>
            <w:tcBorders>
              <w:top w:val="single" w:color="auto" w:sz="6" w:space="0"/>
              <w:left w:val="single" w:color="auto" w:sz="12" w:space="0"/>
              <w:right w:val="single" w:color="auto" w:sz="6" w:space="0"/>
            </w:tcBorders>
            <w:vAlign w:val="center"/>
          </w:tcPr>
          <w:p>
            <w:pPr>
              <w:jc w:val="center"/>
              <w:rPr>
                <w:rFonts w:hint="eastAsia"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w:t>
            </w:r>
          </w:p>
        </w:tc>
        <w:tc>
          <w:tcPr>
            <w:tcW w:w="1134" w:type="dxa"/>
            <w:vMerge w:val="restart"/>
            <w:tcBorders>
              <w:top w:val="single" w:color="auto" w:sz="6" w:space="0"/>
              <w:left w:val="single" w:color="auto" w:sz="6" w:space="0"/>
              <w:right w:val="single" w:color="auto" w:sz="6" w:space="0"/>
            </w:tcBorders>
            <w:vAlign w:val="center"/>
          </w:tcPr>
          <w:p>
            <w:pPr>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污染物</w:t>
            </w:r>
          </w:p>
          <w:p>
            <w:pPr>
              <w:jc w:val="center"/>
              <w:rPr>
                <w:rFonts w:hint="eastAsia" w:eastAsia="宋体" w:cs="宋体"/>
                <w:color w:val="000000" w:themeColor="text1"/>
                <w:szCs w:val="21"/>
                <w:lang w:eastAsia="zh-CN"/>
                <w14:textFill>
                  <w14:solidFill>
                    <w14:schemeClr w14:val="tx1"/>
                  </w14:solidFill>
                </w14:textFill>
              </w:rPr>
            </w:pPr>
            <w:r>
              <w:rPr>
                <w:rFonts w:hint="eastAsia" w:cs="宋体"/>
                <w:color w:val="000000" w:themeColor="text1"/>
                <w:szCs w:val="21"/>
                <w:lang w:eastAsia="zh-CN"/>
                <w14:textFill>
                  <w14:solidFill>
                    <w14:schemeClr w14:val="tx1"/>
                  </w14:solidFill>
                </w14:textFill>
              </w:rPr>
              <w:t>总量</w:t>
            </w:r>
          </w:p>
        </w:tc>
        <w:tc>
          <w:tcPr>
            <w:tcW w:w="851" w:type="dxa"/>
            <w:gridSpan w:val="2"/>
            <w:vMerge w:val="restart"/>
            <w:tcBorders>
              <w:top w:val="single" w:color="auto" w:sz="6" w:space="0"/>
              <w:left w:val="single" w:color="auto" w:sz="6" w:space="0"/>
              <w:right w:val="single" w:color="auto" w:sz="6" w:space="0"/>
            </w:tcBorders>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颗粒物</w:t>
            </w:r>
          </w:p>
        </w:tc>
        <w:tc>
          <w:tcPr>
            <w:tcW w:w="3118" w:type="dxa"/>
            <w:gridSpan w:val="2"/>
            <w:tcBorders>
              <w:top w:val="single" w:color="auto" w:sz="6" w:space="0"/>
              <w:left w:val="single" w:color="auto" w:sz="6" w:space="0"/>
              <w:bottom w:val="single" w:color="auto" w:sz="4" w:space="0"/>
              <w:right w:val="single" w:color="auto" w:sz="4" w:space="0"/>
            </w:tcBorders>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排放口编号</w:t>
            </w:r>
          </w:p>
        </w:tc>
        <w:tc>
          <w:tcPr>
            <w:tcW w:w="8408" w:type="dxa"/>
            <w:gridSpan w:val="5"/>
            <w:tcBorders>
              <w:top w:val="single" w:color="auto" w:sz="6" w:space="0"/>
              <w:left w:val="single" w:color="auto" w:sz="4" w:space="0"/>
              <w:bottom w:val="single" w:color="auto" w:sz="4" w:space="0"/>
              <w:right w:val="single" w:color="auto" w:sz="12" w:space="0"/>
            </w:tcBorders>
            <w:vAlign w:val="center"/>
          </w:tcPr>
          <w:p>
            <w:pPr>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1" w:hRule="atLeast"/>
        </w:trPr>
        <w:tc>
          <w:tcPr>
            <w:tcW w:w="709" w:type="dxa"/>
            <w:vMerge w:val="continue"/>
            <w:tcBorders>
              <w:left w:val="single" w:color="auto" w:sz="12" w:space="0"/>
              <w:bottom w:val="single" w:color="auto" w:sz="12" w:space="0"/>
              <w:right w:val="single" w:color="auto" w:sz="6" w:space="0"/>
            </w:tcBorders>
            <w:vAlign w:val="center"/>
          </w:tcPr>
          <w:p>
            <w:pPr>
              <w:jc w:val="center"/>
              <w:rPr>
                <w:rFonts w:hint="eastAsia" w:cs="宋体"/>
                <w:color w:val="000000" w:themeColor="text1"/>
                <w:szCs w:val="21"/>
                <w:lang w:val="en-US" w:eastAsia="zh-CN"/>
                <w14:textFill>
                  <w14:solidFill>
                    <w14:schemeClr w14:val="tx1"/>
                  </w14:solidFill>
                </w14:textFill>
              </w:rPr>
            </w:pPr>
          </w:p>
        </w:tc>
        <w:tc>
          <w:tcPr>
            <w:tcW w:w="1134" w:type="dxa"/>
            <w:vMerge w:val="continue"/>
            <w:tcBorders>
              <w:left w:val="single" w:color="auto" w:sz="6" w:space="0"/>
              <w:bottom w:val="single" w:color="auto" w:sz="12" w:space="0"/>
              <w:right w:val="single" w:color="auto" w:sz="6" w:space="0"/>
            </w:tcBorders>
            <w:vAlign w:val="center"/>
          </w:tcPr>
          <w:p>
            <w:pPr>
              <w:jc w:val="center"/>
              <w:rPr>
                <w:rFonts w:hint="eastAsia" w:cs="宋体"/>
                <w:color w:val="000000" w:themeColor="text1"/>
                <w:szCs w:val="21"/>
                <w:lang w:eastAsia="zh-CN"/>
                <w14:textFill>
                  <w14:solidFill>
                    <w14:schemeClr w14:val="tx1"/>
                  </w14:solidFill>
                </w14:textFill>
              </w:rPr>
            </w:pPr>
          </w:p>
        </w:tc>
        <w:tc>
          <w:tcPr>
            <w:tcW w:w="851" w:type="dxa"/>
            <w:gridSpan w:val="2"/>
            <w:vMerge w:val="continue"/>
            <w:tcBorders>
              <w:left w:val="single" w:color="auto" w:sz="6" w:space="0"/>
              <w:bottom w:val="single" w:color="auto" w:sz="12" w:space="0"/>
              <w:right w:val="single" w:color="auto" w:sz="6" w:space="0"/>
            </w:tcBorders>
            <w:vAlign w:val="center"/>
          </w:tcPr>
          <w:p>
            <w:pPr>
              <w:jc w:val="center"/>
              <w:rPr>
                <w:rFonts w:hint="eastAsia"/>
                <w:color w:val="000000" w:themeColor="text1"/>
                <w:szCs w:val="21"/>
                <w:lang w:eastAsia="zh-CN"/>
                <w14:textFill>
                  <w14:solidFill>
                    <w14:schemeClr w14:val="tx1"/>
                  </w14:solidFill>
                </w14:textFill>
              </w:rPr>
            </w:pPr>
          </w:p>
        </w:tc>
        <w:tc>
          <w:tcPr>
            <w:tcW w:w="3118" w:type="dxa"/>
            <w:gridSpan w:val="2"/>
            <w:tcBorders>
              <w:top w:val="single" w:color="auto" w:sz="4" w:space="0"/>
              <w:left w:val="single" w:color="auto" w:sz="6" w:space="0"/>
              <w:bottom w:val="single" w:color="auto" w:sz="12" w:space="0"/>
              <w:right w:val="single" w:color="auto" w:sz="4" w:space="0"/>
            </w:tcBorders>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DA001</w:t>
            </w:r>
          </w:p>
        </w:tc>
        <w:tc>
          <w:tcPr>
            <w:tcW w:w="8408" w:type="dxa"/>
            <w:gridSpan w:val="5"/>
            <w:tcBorders>
              <w:top w:val="single" w:color="auto" w:sz="4" w:space="0"/>
              <w:left w:val="single" w:color="auto" w:sz="4" w:space="0"/>
              <w:bottom w:val="single" w:color="auto" w:sz="12" w:space="0"/>
              <w:right w:val="single" w:color="auto" w:sz="12" w:space="0"/>
            </w:tcBorders>
            <w:vAlign w:val="center"/>
          </w:tcPr>
          <w:p>
            <w:pPr>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0.96t/a</w:t>
            </w:r>
          </w:p>
        </w:tc>
      </w:tr>
    </w:tbl>
    <w:p>
      <w:pPr>
        <w:spacing w:line="480" w:lineRule="exact"/>
        <w:jc w:val="center"/>
        <w:rPr>
          <w:color w:val="000000" w:themeColor="text1"/>
          <w:sz w:val="24"/>
          <w14:textFill>
            <w14:solidFill>
              <w14:schemeClr w14:val="tx1"/>
            </w14:solidFill>
          </w14:textFill>
        </w:rPr>
      </w:pPr>
    </w:p>
    <w:p>
      <w:pPr>
        <w:spacing w:line="480" w:lineRule="exact"/>
        <w:jc w:val="center"/>
        <w:rPr>
          <w:color w:val="000000" w:themeColor="text1"/>
          <w:sz w:val="24"/>
          <w14:textFill>
            <w14:solidFill>
              <w14:schemeClr w14:val="tx1"/>
            </w14:solidFill>
          </w14:textFill>
        </w:rPr>
      </w:pPr>
    </w:p>
    <w:p>
      <w:pPr>
        <w:spacing w:line="480" w:lineRule="exact"/>
        <w:jc w:val="center"/>
        <w:rPr>
          <w:color w:val="000000" w:themeColor="text1"/>
          <w:sz w:val="24"/>
          <w14:textFill>
            <w14:solidFill>
              <w14:schemeClr w14:val="tx1"/>
            </w14:solidFill>
          </w14:textFill>
        </w:rPr>
      </w:pPr>
    </w:p>
    <w:p>
      <w:pPr>
        <w:spacing w:line="480" w:lineRule="exact"/>
        <w:jc w:val="center"/>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sectPr>
          <w:pgSz w:w="16838" w:h="11906" w:orient="landscape"/>
          <w:pgMar w:top="1418" w:right="1440" w:bottom="1418" w:left="1440" w:header="851" w:footer="992" w:gutter="0"/>
          <w:cols w:space="425" w:num="1"/>
          <w:docGrid w:type="linesAndChars" w:linePitch="312" w:charSpace="0"/>
        </w:sectPr>
      </w:pPr>
    </w:p>
    <w:p>
      <w:pPr>
        <w:spacing w:line="480" w:lineRule="exact"/>
        <w:outlineLvl w:val="0"/>
        <w:rPr>
          <w:color w:val="000000" w:themeColor="text1"/>
          <w:sz w:val="24"/>
          <w14:textFill>
            <w14:solidFill>
              <w14:schemeClr w14:val="tx1"/>
            </w14:solidFill>
          </w14:textFill>
        </w:rPr>
      </w:pPr>
      <w:r>
        <w:rPr>
          <w:rFonts w:eastAsia="黑体"/>
          <w:bCs/>
          <w:color w:val="000000" w:themeColor="text1"/>
          <w:sz w:val="32"/>
          <w:szCs w:val="32"/>
          <w14:textFill>
            <w14:solidFill>
              <w14:schemeClr w14:val="tx1"/>
            </w14:solidFill>
          </w14:textFill>
        </w:rPr>
        <w:t>建设项目拟采取的防治措施及预期治理效果</w:t>
      </w:r>
    </w:p>
    <w:tbl>
      <w:tblPr>
        <w:tblStyle w:val="32"/>
        <w:tblW w:w="507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
        <w:gridCol w:w="1710"/>
        <w:gridCol w:w="1090"/>
        <w:gridCol w:w="4394"/>
        <w:gridCol w:w="1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918" w:type="dxa"/>
            <w:tcBorders>
              <w:bottom w:val="single" w:color="auto" w:sz="4" w:space="0"/>
              <w:tl2br w:val="single" w:color="auto" w:sz="4" w:space="0"/>
            </w:tcBorders>
            <w:vAlign w:val="center"/>
          </w:tcPr>
          <w:p>
            <w:pPr>
              <w:spacing w:line="36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内容</w:t>
            </w:r>
          </w:p>
          <w:p>
            <w:pPr>
              <w:spacing w:line="36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1710" w:type="dxa"/>
            <w:vAlign w:val="center"/>
          </w:tcPr>
          <w:p>
            <w:pPr>
              <w:spacing w:line="36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排放源</w:t>
            </w:r>
          </w:p>
          <w:p>
            <w:pPr>
              <w:spacing w:line="3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编号</w:t>
            </w:r>
            <w:r>
              <w:rPr>
                <w:b/>
                <w:color w:val="000000" w:themeColor="text1"/>
                <w:szCs w:val="21"/>
                <w14:textFill>
                  <w14:solidFill>
                    <w14:schemeClr w14:val="tx1"/>
                  </w14:solidFill>
                </w14:textFill>
              </w:rPr>
              <w:t>)</w:t>
            </w:r>
          </w:p>
        </w:tc>
        <w:tc>
          <w:tcPr>
            <w:tcW w:w="1090" w:type="dxa"/>
            <w:vAlign w:val="center"/>
          </w:tcPr>
          <w:p>
            <w:pPr>
              <w:spacing w:line="36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污染物</w:t>
            </w:r>
          </w:p>
          <w:p>
            <w:pPr>
              <w:spacing w:line="36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名称</w:t>
            </w:r>
          </w:p>
        </w:tc>
        <w:tc>
          <w:tcPr>
            <w:tcW w:w="4394" w:type="dxa"/>
            <w:tcBorders>
              <w:bottom w:val="single" w:color="auto" w:sz="4" w:space="0"/>
            </w:tcBorders>
            <w:vAlign w:val="center"/>
          </w:tcPr>
          <w:p>
            <w:pPr>
              <w:spacing w:line="36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防治措施</w:t>
            </w:r>
          </w:p>
        </w:tc>
        <w:tc>
          <w:tcPr>
            <w:tcW w:w="1306" w:type="dxa"/>
            <w:tcBorders>
              <w:bottom w:val="single" w:color="auto" w:sz="4" w:space="0"/>
            </w:tcBorders>
            <w:vAlign w:val="center"/>
          </w:tcPr>
          <w:p>
            <w:pPr>
              <w:spacing w:line="36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预期治</w:t>
            </w:r>
          </w:p>
          <w:p>
            <w:pPr>
              <w:spacing w:line="36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918" w:type="dxa"/>
            <w:vMerge w:val="restart"/>
            <w:tcBorders>
              <w:top w:val="single" w:color="auto" w:sz="4" w:space="0"/>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大气</w:t>
            </w:r>
          </w:p>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w:t>
            </w:r>
          </w:p>
        </w:tc>
        <w:tc>
          <w:tcPr>
            <w:tcW w:w="1710" w:type="dxa"/>
            <w:tcBorders>
              <w:left w:val="single" w:color="auto" w:sz="4" w:space="0"/>
              <w:bottom w:val="single" w:color="auto" w:sz="6" w:space="0"/>
            </w:tcBorders>
            <w:shd w:val="clear" w:color="auto" w:fill="auto"/>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原料、成品运输</w:t>
            </w:r>
          </w:p>
        </w:tc>
        <w:tc>
          <w:tcPr>
            <w:tcW w:w="1090" w:type="dxa"/>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粉尘</w:t>
            </w:r>
          </w:p>
        </w:tc>
        <w:tc>
          <w:tcPr>
            <w:tcW w:w="4394" w:type="dxa"/>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pacing w:val="4"/>
                <w:szCs w:val="21"/>
                <w14:textFill>
                  <w14:solidFill>
                    <w14:schemeClr w14:val="tx1"/>
                  </w14:solidFill>
                </w14:textFill>
              </w:rPr>
              <w:t>限制汽车超载超速、运输车辆加盖篷布</w:t>
            </w:r>
            <w:r>
              <w:rPr>
                <w:rFonts w:hint="eastAsia" w:hAnsi="宋体"/>
                <w:color w:val="000000" w:themeColor="text1"/>
                <w:spacing w:val="4"/>
                <w:szCs w:val="21"/>
                <w14:textFill>
                  <w14:solidFill>
                    <w14:schemeClr w14:val="tx1"/>
                  </w14:solidFill>
                </w14:textFill>
              </w:rPr>
              <w:t>、</w:t>
            </w:r>
            <w:r>
              <w:rPr>
                <w:color w:val="000000" w:themeColor="text1"/>
                <w:szCs w:val="21"/>
                <w14:textFill>
                  <w14:solidFill>
                    <w14:schemeClr w14:val="tx1"/>
                  </w14:solidFill>
                </w14:textFill>
              </w:rPr>
              <w:t>道路定期洒水抑尘</w:t>
            </w:r>
            <w:r>
              <w:rPr>
                <w:rFonts w:hint="eastAsia"/>
                <w:color w:val="000000" w:themeColor="text1"/>
                <w:szCs w:val="21"/>
                <w14:textFill>
                  <w14:solidFill>
                    <w14:schemeClr w14:val="tx1"/>
                  </w14:solidFill>
                </w14:textFill>
              </w:rPr>
              <w:t>，可抑尘80%</w:t>
            </w:r>
          </w:p>
        </w:tc>
        <w:tc>
          <w:tcPr>
            <w:tcW w:w="1306" w:type="dxa"/>
            <w:tcBorders>
              <w:bottom w:val="single" w:color="auto" w:sz="4" w:space="0"/>
            </w:tcBorders>
            <w:shd w:val="clear" w:color="auto" w:fill="auto"/>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减轻粉尘</w:t>
            </w:r>
          </w:p>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18" w:type="dxa"/>
            <w:vMerge w:val="continue"/>
            <w:tcBorders>
              <w:right w:val="single" w:color="auto" w:sz="4" w:space="0"/>
            </w:tcBorders>
            <w:vAlign w:val="center"/>
          </w:tcPr>
          <w:p>
            <w:pPr>
              <w:spacing w:line="400" w:lineRule="exact"/>
              <w:jc w:val="center"/>
              <w:rPr>
                <w:color w:val="000000" w:themeColor="text1"/>
                <w:szCs w:val="21"/>
                <w14:textFill>
                  <w14:solidFill>
                    <w14:schemeClr w14:val="tx1"/>
                  </w14:solidFill>
                </w14:textFill>
              </w:rPr>
            </w:pPr>
          </w:p>
        </w:tc>
        <w:tc>
          <w:tcPr>
            <w:tcW w:w="1710" w:type="dxa"/>
            <w:tcBorders>
              <w:left w:val="single" w:color="auto" w:sz="4" w:space="0"/>
              <w:bottom w:val="single" w:color="auto" w:sz="6" w:space="0"/>
            </w:tcBorders>
            <w:shd w:val="clear" w:color="auto" w:fill="auto"/>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破碎工序</w:t>
            </w:r>
          </w:p>
        </w:tc>
        <w:tc>
          <w:tcPr>
            <w:tcW w:w="1090" w:type="dxa"/>
            <w:tcBorders>
              <w:bottom w:val="single" w:color="auto" w:sz="6" w:space="0"/>
            </w:tcBorders>
            <w:vAlign w:val="center"/>
          </w:tcPr>
          <w:p>
            <w:pPr>
              <w:spacing w:line="320" w:lineRule="atLeas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粉尘</w:t>
            </w:r>
          </w:p>
        </w:tc>
        <w:tc>
          <w:tcPr>
            <w:tcW w:w="4394" w:type="dxa"/>
            <w:tcBorders>
              <w:bottom w:val="single" w:color="auto" w:sz="6" w:space="0"/>
            </w:tcBorders>
            <w:vAlign w:val="center"/>
          </w:tcPr>
          <w:p>
            <w:pPr>
              <w:adjustRightInd w:val="0"/>
              <w:snapToGrid w:val="0"/>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破碎机进出料口安装集气罩，采用集气罩+高效布袋除尘器（1套）进行处理，集尘效率可达99%，除尘效率达99%。处理后的</w:t>
            </w:r>
            <w:r>
              <w:rPr>
                <w:bCs/>
                <w:color w:val="000000" w:themeColor="text1"/>
                <w:szCs w:val="21"/>
                <w14:textFill>
                  <w14:solidFill>
                    <w14:schemeClr w14:val="tx1"/>
                  </w14:solidFill>
                </w14:textFill>
              </w:rPr>
              <w:t>废气通过</w:t>
            </w:r>
            <w:r>
              <w:rPr>
                <w:rFonts w:hint="eastAsia"/>
                <w:bCs/>
                <w:color w:val="000000" w:themeColor="text1"/>
                <w:szCs w:val="21"/>
                <w14:textFill>
                  <w14:solidFill>
                    <w14:schemeClr w14:val="tx1"/>
                  </w14:solidFill>
                </w14:textFill>
              </w:rPr>
              <w:t>15</w:t>
            </w:r>
            <w:r>
              <w:rPr>
                <w:bCs/>
                <w:color w:val="000000" w:themeColor="text1"/>
                <w:szCs w:val="21"/>
                <w14:textFill>
                  <w14:solidFill>
                    <w14:schemeClr w14:val="tx1"/>
                  </w14:solidFill>
                </w14:textFill>
              </w:rPr>
              <w:t>m高的排气筒外排</w:t>
            </w:r>
          </w:p>
        </w:tc>
        <w:tc>
          <w:tcPr>
            <w:tcW w:w="1306" w:type="dxa"/>
            <w:vMerge w:val="restart"/>
            <w:tcBorders>
              <w:top w:val="single" w:color="auto" w:sz="4" w:space="0"/>
            </w:tcBorders>
            <w:shd w:val="clear" w:color="auto" w:fill="auto"/>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918" w:type="dxa"/>
            <w:vMerge w:val="continue"/>
            <w:tcBorders>
              <w:right w:val="single" w:color="auto" w:sz="4" w:space="0"/>
            </w:tcBorders>
            <w:vAlign w:val="center"/>
          </w:tcPr>
          <w:p>
            <w:pPr>
              <w:spacing w:line="400" w:lineRule="exact"/>
              <w:jc w:val="center"/>
              <w:rPr>
                <w:color w:val="000000" w:themeColor="text1"/>
                <w:szCs w:val="21"/>
                <w14:textFill>
                  <w14:solidFill>
                    <w14:schemeClr w14:val="tx1"/>
                  </w14:solidFill>
                </w14:textFill>
              </w:rPr>
            </w:pPr>
          </w:p>
        </w:tc>
        <w:tc>
          <w:tcPr>
            <w:tcW w:w="1710" w:type="dxa"/>
            <w:tcBorders>
              <w:left w:val="single" w:color="auto" w:sz="4" w:space="0"/>
            </w:tcBorders>
            <w:shd w:val="clear" w:color="auto" w:fill="auto"/>
            <w:vAlign w:val="center"/>
          </w:tcPr>
          <w:p>
            <w:pPr>
              <w:spacing w:line="28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皮带输送</w:t>
            </w:r>
          </w:p>
        </w:tc>
        <w:tc>
          <w:tcPr>
            <w:tcW w:w="1090" w:type="dxa"/>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粉尘</w:t>
            </w:r>
          </w:p>
        </w:tc>
        <w:tc>
          <w:tcPr>
            <w:tcW w:w="4394" w:type="dxa"/>
            <w:vAlign w:val="center"/>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全封闭皮带</w:t>
            </w:r>
            <w:r>
              <w:rPr>
                <w:color w:val="000000" w:themeColor="text1"/>
                <w:szCs w:val="21"/>
                <w14:textFill>
                  <w14:solidFill>
                    <w14:schemeClr w14:val="tx1"/>
                  </w14:solidFill>
                </w14:textFill>
              </w:rPr>
              <w:t>走廊</w:t>
            </w:r>
          </w:p>
        </w:tc>
        <w:tc>
          <w:tcPr>
            <w:tcW w:w="1306" w:type="dxa"/>
            <w:vMerge w:val="continue"/>
            <w:shd w:val="clear" w:color="auto" w:fill="auto"/>
            <w:vAlign w:val="center"/>
          </w:tcPr>
          <w:p>
            <w:pPr>
              <w:spacing w:line="320" w:lineRule="atLeas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jc w:val="center"/>
        </w:trPr>
        <w:tc>
          <w:tcPr>
            <w:tcW w:w="918" w:type="dxa"/>
            <w:vMerge w:val="continue"/>
            <w:tcBorders>
              <w:right w:val="single" w:color="auto" w:sz="4" w:space="0"/>
            </w:tcBorders>
            <w:vAlign w:val="center"/>
          </w:tcPr>
          <w:p>
            <w:pPr>
              <w:spacing w:line="400" w:lineRule="exact"/>
              <w:jc w:val="center"/>
              <w:rPr>
                <w:color w:val="000000" w:themeColor="text1"/>
                <w:szCs w:val="21"/>
                <w14:textFill>
                  <w14:solidFill>
                    <w14:schemeClr w14:val="tx1"/>
                  </w14:solidFill>
                </w14:textFill>
              </w:rPr>
            </w:pPr>
          </w:p>
        </w:tc>
        <w:tc>
          <w:tcPr>
            <w:tcW w:w="1710" w:type="dxa"/>
            <w:tcBorders>
              <w:left w:val="single" w:color="auto" w:sz="4" w:space="0"/>
            </w:tcBorders>
            <w:shd w:val="clear" w:color="auto" w:fill="auto"/>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原料、成品堆场</w:t>
            </w:r>
          </w:p>
        </w:tc>
        <w:tc>
          <w:tcPr>
            <w:tcW w:w="1090" w:type="dxa"/>
            <w:tcBorders>
              <w:bottom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粉尘</w:t>
            </w:r>
          </w:p>
        </w:tc>
        <w:tc>
          <w:tcPr>
            <w:tcW w:w="4394" w:type="dxa"/>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全封闭</w:t>
            </w:r>
            <w:r>
              <w:rPr>
                <w:rFonts w:hint="eastAsia"/>
                <w:color w:val="000000" w:themeColor="text1"/>
                <w:szCs w:val="21"/>
                <w14:textFill>
                  <w14:solidFill>
                    <w14:schemeClr w14:val="tx1"/>
                  </w14:solidFill>
                </w14:textFill>
              </w:rPr>
              <w:t>成品区，</w:t>
            </w:r>
            <w:r>
              <w:rPr>
                <w:rFonts w:hint="eastAsia"/>
                <w:bCs/>
                <w:color w:val="000000" w:themeColor="text1"/>
                <w:szCs w:val="21"/>
                <w14:textFill>
                  <w14:solidFill>
                    <w14:schemeClr w14:val="tx1"/>
                  </w14:solidFill>
                </w14:textFill>
              </w:rPr>
              <w:t>地面硬化</w:t>
            </w:r>
          </w:p>
        </w:tc>
        <w:tc>
          <w:tcPr>
            <w:tcW w:w="1306" w:type="dxa"/>
            <w:vMerge w:val="continue"/>
            <w:shd w:val="clear" w:color="auto" w:fill="auto"/>
            <w:vAlign w:val="center"/>
          </w:tcPr>
          <w:p>
            <w:pPr>
              <w:spacing w:line="320" w:lineRule="atLeas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1" w:hRule="atLeast"/>
          <w:jc w:val="center"/>
        </w:trPr>
        <w:tc>
          <w:tcPr>
            <w:tcW w:w="918" w:type="dxa"/>
            <w:vMerge w:val="restart"/>
            <w:tcBorders>
              <w:right w:val="single" w:color="auto" w:sz="4"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水污</w:t>
            </w:r>
          </w:p>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染物</w:t>
            </w:r>
          </w:p>
        </w:tc>
        <w:tc>
          <w:tcPr>
            <w:tcW w:w="1710" w:type="dxa"/>
            <w:tcBorders>
              <w:left w:val="single" w:color="auto" w:sz="4" w:space="0"/>
            </w:tcBorders>
            <w:shd w:val="clear" w:color="auto" w:fill="auto"/>
            <w:vAlign w:val="center"/>
          </w:tcPr>
          <w:p>
            <w:pPr>
              <w:adjustRightInd w:val="0"/>
              <w:snapToGrid w:val="0"/>
              <w:spacing w:line="28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生活污水W1</w:t>
            </w:r>
          </w:p>
        </w:tc>
        <w:tc>
          <w:tcPr>
            <w:tcW w:w="1090" w:type="dxa"/>
            <w:tcBorders>
              <w:top w:val="single" w:color="auto" w:sz="4"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CODcr</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BOD</w:t>
            </w:r>
            <w:r>
              <w:rPr>
                <w:color w:val="000000" w:themeColor="text1"/>
                <w:szCs w:val="21"/>
                <w:vertAlign w:val="subscript"/>
                <w14:textFill>
                  <w14:solidFill>
                    <w14:schemeClr w14:val="tx1"/>
                  </w14:solidFill>
                </w14:textFill>
              </w:rPr>
              <w:t>5</w:t>
            </w:r>
          </w:p>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4394" w:type="dxa"/>
            <w:vAlign w:val="center"/>
          </w:tcPr>
          <w:p>
            <w:pPr>
              <w:adjustRightInd w:val="0"/>
              <w:snapToGrid w:val="0"/>
              <w:spacing w:line="280" w:lineRule="exact"/>
              <w:jc w:val="center"/>
              <w:rPr>
                <w:color w:val="000000" w:themeColor="text1"/>
                <w:spacing w:val="-2"/>
                <w:szCs w:val="21"/>
                <w14:textFill>
                  <w14:solidFill>
                    <w14:schemeClr w14:val="tx1"/>
                  </w14:solidFill>
                </w14:textFill>
              </w:rPr>
            </w:pPr>
            <w:r>
              <w:rPr>
                <w:color w:val="000000" w:themeColor="text1"/>
                <w:szCs w:val="21"/>
                <w14:textFill>
                  <w14:solidFill>
                    <w14:schemeClr w14:val="tx1"/>
                  </w14:solidFill>
                </w14:textFill>
              </w:rPr>
              <w:t>用于厂区洒水抑尘</w:t>
            </w:r>
          </w:p>
        </w:tc>
        <w:tc>
          <w:tcPr>
            <w:tcW w:w="1306" w:type="dxa"/>
            <w:vMerge w:val="restart"/>
            <w:shd w:val="clear" w:color="auto" w:fill="auto"/>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918" w:type="dxa"/>
            <w:vMerge w:val="continue"/>
            <w:tcBorders>
              <w:right w:val="single" w:color="auto" w:sz="4" w:space="0"/>
            </w:tcBorders>
            <w:vAlign w:val="center"/>
          </w:tcPr>
          <w:p>
            <w:pPr>
              <w:spacing w:line="320" w:lineRule="atLeast"/>
              <w:jc w:val="center"/>
              <w:rPr>
                <w:color w:val="000000" w:themeColor="text1"/>
                <w:szCs w:val="21"/>
                <w14:textFill>
                  <w14:solidFill>
                    <w14:schemeClr w14:val="tx1"/>
                  </w14:solidFill>
                </w14:textFill>
              </w:rPr>
            </w:pPr>
          </w:p>
        </w:tc>
        <w:tc>
          <w:tcPr>
            <w:tcW w:w="1710" w:type="dxa"/>
            <w:tcBorders>
              <w:left w:val="single" w:color="auto" w:sz="4" w:space="0"/>
            </w:tcBorders>
            <w:shd w:val="clear" w:color="auto" w:fill="auto"/>
            <w:vAlign w:val="center"/>
          </w:tcPr>
          <w:p>
            <w:pPr>
              <w:spacing w:line="280" w:lineRule="exact"/>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洗车</w:t>
            </w:r>
            <w:r>
              <w:rPr>
                <w:color w:val="000000" w:themeColor="text1"/>
                <w:szCs w:val="21"/>
                <w14:textFill>
                  <w14:solidFill>
                    <w14:schemeClr w14:val="tx1"/>
                  </w14:solidFill>
                </w14:textFill>
              </w:rPr>
              <w:t>废水</w:t>
            </w:r>
            <w:r>
              <w:rPr>
                <w:rFonts w:hint="eastAsia" w:hAnsi="宋体"/>
                <w:color w:val="000000" w:themeColor="text1"/>
                <w:szCs w:val="21"/>
                <w14:textFill>
                  <w14:solidFill>
                    <w14:schemeClr w14:val="tx1"/>
                  </w14:solidFill>
                </w14:textFill>
              </w:rPr>
              <w:t>W2</w:t>
            </w:r>
          </w:p>
        </w:tc>
        <w:tc>
          <w:tcPr>
            <w:tcW w:w="1090" w:type="dxa"/>
            <w:tcBorders>
              <w:top w:val="single" w:color="auto" w:sz="4" w:space="0"/>
            </w:tcBorders>
            <w:vAlign w:val="center"/>
          </w:tcPr>
          <w:p>
            <w:pPr>
              <w:spacing w:line="2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4394" w:type="dxa"/>
            <w:vAlign w:val="center"/>
          </w:tcPr>
          <w:p>
            <w:pPr>
              <w:spacing w:line="280" w:lineRule="exact"/>
              <w:jc w:val="center"/>
              <w:rPr>
                <w:color w:val="000000" w:themeColor="text1"/>
                <w:szCs w:val="21"/>
                <w14:textFill>
                  <w14:solidFill>
                    <w14:schemeClr w14:val="tx1"/>
                  </w14:solidFill>
                </w14:textFill>
              </w:rPr>
            </w:pPr>
            <w:r>
              <w:rPr>
                <w:rFonts w:hint="eastAsia"/>
                <w:color w:val="000000" w:themeColor="text1"/>
                <w:szCs w:val="21"/>
                <w:highlight w:val="none"/>
                <w14:textFill>
                  <w14:solidFill>
                    <w14:schemeClr w14:val="tx1"/>
                  </w14:solidFill>
                </w14:textFill>
              </w:rPr>
              <w:t>设1座</w:t>
            </w:r>
            <w:r>
              <w:rPr>
                <w:rFonts w:hint="eastAsia"/>
                <w:color w:val="000000" w:themeColor="text1"/>
                <w:szCs w:val="21"/>
                <w:highlight w:val="none"/>
                <w:lang w:val="en-US" w:eastAsia="zh-CN"/>
                <w14:textFill>
                  <w14:solidFill>
                    <w14:schemeClr w14:val="tx1"/>
                  </w14:solidFill>
                </w14:textFill>
              </w:rPr>
              <w:t>5</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沉淀池进行循环使用</w:t>
            </w:r>
          </w:p>
        </w:tc>
        <w:tc>
          <w:tcPr>
            <w:tcW w:w="1306" w:type="dxa"/>
            <w:vMerge w:val="continue"/>
            <w:shd w:val="clear" w:color="auto" w:fill="auto"/>
            <w:vAlign w:val="center"/>
          </w:tcPr>
          <w:p>
            <w:pPr>
              <w:spacing w:line="320" w:lineRule="atLeas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918" w:type="dxa"/>
            <w:vMerge w:val="continue"/>
            <w:tcBorders>
              <w:right w:val="single" w:color="auto" w:sz="4" w:space="0"/>
            </w:tcBorders>
            <w:vAlign w:val="center"/>
          </w:tcPr>
          <w:p>
            <w:pPr>
              <w:spacing w:line="320" w:lineRule="atLeast"/>
              <w:jc w:val="center"/>
              <w:rPr>
                <w:color w:val="000000" w:themeColor="text1"/>
                <w:szCs w:val="21"/>
                <w14:textFill>
                  <w14:solidFill>
                    <w14:schemeClr w14:val="tx1"/>
                  </w14:solidFill>
                </w14:textFill>
              </w:rPr>
            </w:pPr>
          </w:p>
        </w:tc>
        <w:tc>
          <w:tcPr>
            <w:tcW w:w="1710" w:type="dxa"/>
            <w:tcBorders>
              <w:top w:val="single" w:color="auto" w:sz="6" w:space="0"/>
              <w:lef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初期雨水</w:t>
            </w:r>
          </w:p>
        </w:tc>
        <w:tc>
          <w:tcPr>
            <w:tcW w:w="1090" w:type="dxa"/>
            <w:tcBorders>
              <w:top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SS</w:t>
            </w:r>
          </w:p>
        </w:tc>
        <w:tc>
          <w:tcPr>
            <w:tcW w:w="4394" w:type="dxa"/>
            <w:tcBorders>
              <w:top w:val="single" w:color="auto" w:sz="6"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建设1座容积为100m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的防渗结构雨水收集池，雨水经收集沉淀后可用于厂区降尘洒水</w:t>
            </w:r>
          </w:p>
        </w:tc>
        <w:tc>
          <w:tcPr>
            <w:tcW w:w="1306" w:type="dxa"/>
            <w:vMerge w:val="continue"/>
            <w:vAlign w:val="center"/>
          </w:tcPr>
          <w:p>
            <w:pPr>
              <w:spacing w:line="320" w:lineRule="atLeas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918" w:type="dxa"/>
            <w:vMerge w:val="restart"/>
            <w:tcBorders>
              <w:top w:val="single" w:color="auto" w:sz="6"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固体</w:t>
            </w:r>
          </w:p>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废物</w:t>
            </w:r>
          </w:p>
        </w:tc>
        <w:tc>
          <w:tcPr>
            <w:tcW w:w="1710" w:type="dxa"/>
            <w:tcBorders>
              <w:top w:val="single" w:color="auto" w:sz="6" w:space="0"/>
            </w:tcBorders>
            <w:shd w:val="clear" w:color="auto" w:fill="auto"/>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除尘系统S</w:t>
            </w:r>
            <w:r>
              <w:rPr>
                <w:rFonts w:hint="eastAsia"/>
                <w:color w:val="000000" w:themeColor="text1"/>
                <w:szCs w:val="21"/>
                <w:vertAlign w:val="subscript"/>
                <w14:textFill>
                  <w14:solidFill>
                    <w14:schemeClr w14:val="tx1"/>
                  </w14:solidFill>
                </w14:textFill>
              </w:rPr>
              <w:t>1</w:t>
            </w:r>
          </w:p>
        </w:tc>
        <w:tc>
          <w:tcPr>
            <w:tcW w:w="1090" w:type="dxa"/>
            <w:tcBorders>
              <w:top w:val="single" w:color="auto" w:sz="6"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除尘灰</w:t>
            </w:r>
          </w:p>
        </w:tc>
        <w:tc>
          <w:tcPr>
            <w:tcW w:w="4394" w:type="dxa"/>
            <w:tcBorders>
              <w:top w:val="single" w:color="auto" w:sz="6" w:space="0"/>
            </w:tcBorders>
            <w:shd w:val="clear" w:color="auto" w:fill="auto"/>
            <w:vAlign w:val="center"/>
          </w:tcPr>
          <w:p>
            <w:pPr>
              <w:spacing w:line="28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收集后作为</w:t>
            </w:r>
            <w:r>
              <w:rPr>
                <w:rFonts w:hint="eastAsia"/>
                <w:color w:val="000000" w:themeColor="text1"/>
                <w:szCs w:val="21"/>
                <w14:textFill>
                  <w14:solidFill>
                    <w14:schemeClr w14:val="tx1"/>
                  </w14:solidFill>
                </w14:textFill>
              </w:rPr>
              <w:t>生产原料用于生产系统</w:t>
            </w:r>
          </w:p>
        </w:tc>
        <w:tc>
          <w:tcPr>
            <w:tcW w:w="1306" w:type="dxa"/>
            <w:vMerge w:val="restart"/>
            <w:tcBorders>
              <w:top w:val="single" w:color="auto" w:sz="6" w:space="0"/>
            </w:tcBorders>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918" w:type="dxa"/>
            <w:vMerge w:val="continue"/>
            <w:vAlign w:val="center"/>
          </w:tcPr>
          <w:p>
            <w:pPr>
              <w:spacing w:line="320" w:lineRule="atLeast"/>
              <w:jc w:val="center"/>
              <w:rPr>
                <w:color w:val="000000" w:themeColor="text1"/>
                <w:szCs w:val="21"/>
                <w14:textFill>
                  <w14:solidFill>
                    <w14:schemeClr w14:val="tx1"/>
                  </w14:solidFill>
                </w14:textFill>
              </w:rPr>
            </w:pPr>
          </w:p>
        </w:tc>
        <w:tc>
          <w:tcPr>
            <w:tcW w:w="1710" w:type="dxa"/>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职工生活S</w:t>
            </w:r>
            <w:r>
              <w:rPr>
                <w:rFonts w:hint="eastAsia"/>
                <w:color w:val="000000" w:themeColor="text1"/>
                <w:szCs w:val="21"/>
                <w:vertAlign w:val="subscript"/>
                <w14:textFill>
                  <w14:solidFill>
                    <w14:schemeClr w14:val="tx1"/>
                  </w14:solidFill>
                </w14:textFill>
              </w:rPr>
              <w:t>2</w:t>
            </w:r>
          </w:p>
        </w:tc>
        <w:tc>
          <w:tcPr>
            <w:tcW w:w="1090" w:type="dxa"/>
            <w:shd w:val="clear" w:color="auto" w:fill="auto"/>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4394" w:type="dxa"/>
            <w:shd w:val="clear" w:color="auto" w:fill="auto"/>
            <w:vAlign w:val="center"/>
          </w:tcPr>
          <w:p>
            <w:pPr>
              <w:adjustRightInd w:val="0"/>
              <w:snapToGrid w:val="0"/>
              <w:spacing w:line="280" w:lineRule="exac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垃圾桶集中收集后</w:t>
            </w:r>
            <w:r>
              <w:rPr>
                <w:rFonts w:hint="eastAsia"/>
                <w:color w:val="000000" w:themeColor="text1"/>
                <w:spacing w:val="6"/>
                <w:szCs w:val="21"/>
                <w14:textFill>
                  <w14:solidFill>
                    <w14:schemeClr w14:val="tx1"/>
                  </w14:solidFill>
                </w14:textFill>
              </w:rPr>
              <w:t>送环卫部门处置</w:t>
            </w:r>
          </w:p>
        </w:tc>
        <w:tc>
          <w:tcPr>
            <w:tcW w:w="1306" w:type="dxa"/>
            <w:vMerge w:val="continue"/>
            <w:vAlign w:val="center"/>
          </w:tcPr>
          <w:p>
            <w:pPr>
              <w:spacing w:before="50" w:line="480" w:lineRule="exact"/>
              <w:ind w:firstLine="420" w:firstLineChars="200"/>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8" w:hRule="atLeast"/>
          <w:jc w:val="center"/>
        </w:trPr>
        <w:tc>
          <w:tcPr>
            <w:tcW w:w="918" w:type="dxa"/>
            <w:vMerge w:val="restart"/>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噪声</w:t>
            </w:r>
          </w:p>
        </w:tc>
        <w:tc>
          <w:tcPr>
            <w:tcW w:w="1710" w:type="dxa"/>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给料机、破碎机、搅拌机、皮带机</w:t>
            </w:r>
            <w:r>
              <w:rPr>
                <w:rFonts w:hint="eastAsia"/>
                <w:color w:val="000000" w:themeColor="text1"/>
                <w:sz w:val="24"/>
                <w14:textFill>
                  <w14:solidFill>
                    <w14:schemeClr w14:val="tx1"/>
                  </w14:solidFill>
                </w14:textFill>
              </w:rPr>
              <w:t>、</w:t>
            </w:r>
            <w:r>
              <w:rPr>
                <w:rFonts w:hint="eastAsia"/>
                <w:color w:val="000000" w:themeColor="text1"/>
                <w:szCs w:val="21"/>
                <w14:textFill>
                  <w14:solidFill>
                    <w14:schemeClr w14:val="tx1"/>
                  </w14:solidFill>
                </w14:textFill>
              </w:rPr>
              <w:t>风机</w:t>
            </w:r>
            <w:r>
              <w:rPr>
                <w:color w:val="000000" w:themeColor="text1"/>
                <w:szCs w:val="21"/>
                <w14:textFill>
                  <w14:solidFill>
                    <w14:schemeClr w14:val="tx1"/>
                  </w14:solidFill>
                </w14:textFill>
              </w:rPr>
              <w:t>等</w:t>
            </w:r>
          </w:p>
        </w:tc>
        <w:tc>
          <w:tcPr>
            <w:tcW w:w="1090" w:type="dxa"/>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机械噪声</w:t>
            </w:r>
          </w:p>
        </w:tc>
        <w:tc>
          <w:tcPr>
            <w:tcW w:w="4394" w:type="dxa"/>
            <w:vAlign w:val="center"/>
          </w:tcPr>
          <w:p>
            <w:pPr>
              <w:spacing w:line="320" w:lineRule="atLeas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购置低噪声设备，室内安装、基础减震</w:t>
            </w:r>
            <w:r>
              <w:rPr>
                <w:rFonts w:hint="eastAsia"/>
                <w:color w:val="000000" w:themeColor="text1"/>
                <w:szCs w:val="21"/>
                <w14:textFill>
                  <w14:solidFill>
                    <w14:schemeClr w14:val="tx1"/>
                  </w14:solidFill>
                </w14:textFill>
              </w:rPr>
              <w:t>，厂区绿化等</w:t>
            </w:r>
          </w:p>
        </w:tc>
        <w:tc>
          <w:tcPr>
            <w:tcW w:w="1306" w:type="dxa"/>
            <w:vMerge w:val="restart"/>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厂界噪声</w:t>
            </w:r>
          </w:p>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918" w:type="dxa"/>
            <w:vMerge w:val="continue"/>
            <w:vAlign w:val="center"/>
          </w:tcPr>
          <w:p>
            <w:pPr>
              <w:spacing w:line="320" w:lineRule="atLeast"/>
              <w:jc w:val="center"/>
              <w:rPr>
                <w:color w:val="000000" w:themeColor="text1"/>
                <w:szCs w:val="21"/>
                <w14:textFill>
                  <w14:solidFill>
                    <w14:schemeClr w14:val="tx1"/>
                  </w14:solidFill>
                </w14:textFill>
              </w:rPr>
            </w:pPr>
          </w:p>
        </w:tc>
        <w:tc>
          <w:tcPr>
            <w:tcW w:w="1710" w:type="dxa"/>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运输噪声</w:t>
            </w:r>
          </w:p>
        </w:tc>
        <w:tc>
          <w:tcPr>
            <w:tcW w:w="1090" w:type="dxa"/>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交通噪声</w:t>
            </w:r>
          </w:p>
        </w:tc>
        <w:tc>
          <w:tcPr>
            <w:tcW w:w="4394" w:type="dxa"/>
            <w:vAlign w:val="center"/>
          </w:tcPr>
          <w:p>
            <w:pPr>
              <w:spacing w:line="320" w:lineRule="atLeast"/>
              <w:jc w:val="center"/>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道路、厂区绿化，禁止鸣笛，减速慢行</w:t>
            </w:r>
          </w:p>
        </w:tc>
        <w:tc>
          <w:tcPr>
            <w:tcW w:w="1306" w:type="dxa"/>
            <w:vMerge w:val="continue"/>
            <w:vAlign w:val="center"/>
          </w:tcPr>
          <w:p>
            <w:pPr>
              <w:spacing w:line="320" w:lineRule="atLeas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918" w:type="dxa"/>
            <w:vAlign w:val="center"/>
          </w:tcPr>
          <w:p>
            <w:pPr>
              <w:spacing w:line="3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w:t>
            </w:r>
          </w:p>
        </w:tc>
        <w:tc>
          <w:tcPr>
            <w:tcW w:w="8500" w:type="dxa"/>
            <w:gridSpan w:val="4"/>
            <w:vAlign w:val="center"/>
          </w:tcPr>
          <w:p>
            <w:pPr>
              <w:spacing w:line="32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9418" w:type="dxa"/>
            <w:gridSpan w:val="5"/>
            <w:vAlign w:val="center"/>
          </w:tcPr>
          <w:p>
            <w:pPr>
              <w:spacing w:line="480" w:lineRule="exact"/>
              <w:jc w:val="left"/>
              <w:rPr>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生态保护措施及预期效果：</w:t>
            </w:r>
          </w:p>
          <w:p>
            <w:pPr>
              <w:snapToGrid w:val="0"/>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加强建设项目自身的污染治理，采用先进、高效的防治措施减少全厂的三废排放对当地生态环境的影响。本项目工程投产运行后各项污染源做到了达标排放，但仍然会对当地环境造成一定的影响，因此，应从全厂范围内进行严格管理，使全厂的污染物排放总量进一步削减，减轻对区域环境的污染。</w:t>
            </w:r>
          </w:p>
          <w:p>
            <w:pPr>
              <w:snapToGrid w:val="0"/>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为进一步改善区域内生态环境，建设单位在加强厂内三废治理的同时，还应加强厂内绿地建设，利用植物作为治理工业污染的一种经济长效手段，发挥它们在吸收有害气体、净化空气、降低噪声、改善环境，保持生态平衡方面的作用。重点在办公区和道路两侧，种植树木花草等。</w:t>
            </w:r>
          </w:p>
          <w:p>
            <w:pPr>
              <w:snapToGrid w:val="0"/>
              <w:spacing w:line="480" w:lineRule="exact"/>
              <w:ind w:firstLine="480" w:firstLineChars="200"/>
              <w:jc w:val="left"/>
              <w:rPr>
                <w:color w:val="000000" w:themeColor="text1"/>
                <w:sz w:val="24"/>
                <w14:textFill>
                  <w14:solidFill>
                    <w14:schemeClr w14:val="tx1"/>
                  </w14:solidFill>
                </w14:textFill>
              </w:rPr>
            </w:pPr>
          </w:p>
        </w:tc>
      </w:tr>
    </w:tbl>
    <w:p>
      <w:pPr>
        <w:spacing w:line="480" w:lineRule="exact"/>
        <w:outlineLvl w:val="0"/>
        <w:rPr>
          <w:color w:val="000000" w:themeColor="text1"/>
          <w:sz w:val="24"/>
          <w14:textFill>
            <w14:solidFill>
              <w14:schemeClr w14:val="tx1"/>
            </w14:solidFill>
          </w14:textFill>
        </w:rPr>
      </w:pPr>
      <w:r>
        <w:rPr>
          <w:rFonts w:eastAsia="黑体"/>
          <w:bCs/>
          <w:color w:val="000000" w:themeColor="text1"/>
          <w:sz w:val="32"/>
          <w:szCs w:val="32"/>
          <w14:textFill>
            <w14:solidFill>
              <w14:schemeClr w14:val="tx1"/>
            </w14:solidFill>
          </w14:textFill>
        </w:rPr>
        <w:t>结论与建议</w:t>
      </w:r>
    </w:p>
    <w:tbl>
      <w:tblPr>
        <w:tblStyle w:val="3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2"/>
        <w:gridCol w:w="92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8" w:type="pct"/>
          <w:trHeight w:val="2136" w:hRule="atLeast"/>
          <w:jc w:val="center"/>
        </w:trPr>
        <w:tc>
          <w:tcPr>
            <w:tcW w:w="4971" w:type="pct"/>
          </w:tcPr>
          <w:p>
            <w:pPr>
              <w:tabs>
                <w:tab w:val="left" w:pos="3015"/>
              </w:tabs>
              <w:spacing w:before="156" w:beforeLines="50" w:after="156" w:afterLines="50" w:line="480" w:lineRule="exact"/>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结论：</w:t>
            </w:r>
            <w:r>
              <w:rPr>
                <w:rFonts w:eastAsia="黑体"/>
                <w:bCs/>
                <w:color w:val="000000" w:themeColor="text1"/>
                <w:sz w:val="28"/>
                <w:szCs w:val="28"/>
                <w14:textFill>
                  <w14:solidFill>
                    <w14:schemeClr w14:val="tx1"/>
                  </w14:solidFill>
                </w14:textFill>
              </w:rPr>
              <w:tab/>
            </w:r>
          </w:p>
          <w:p>
            <w:pPr>
              <w:spacing w:line="480" w:lineRule="exact"/>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、建设概况</w:t>
            </w:r>
          </w:p>
          <w:p>
            <w:pPr>
              <w:spacing w:line="480" w:lineRule="exact"/>
              <w:ind w:firstLine="480" w:firstLineChars="200"/>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本项目位于</w:t>
            </w:r>
            <w:r>
              <w:rPr>
                <w:rFonts w:hint="eastAsia"/>
                <w:bCs/>
                <w:color w:val="000000" w:themeColor="text1"/>
                <w:sz w:val="24"/>
                <w14:textFill>
                  <w14:solidFill>
                    <w14:schemeClr w14:val="tx1"/>
                  </w14:solidFill>
                </w14:textFill>
              </w:rPr>
              <w:t>山西省忻州市宁武县凤凰镇前石湖村约东南560m处，</w:t>
            </w:r>
            <w:r>
              <w:rPr>
                <w:rFonts w:hint="eastAsia"/>
                <w:color w:val="000000" w:themeColor="text1"/>
                <w:sz w:val="24"/>
                <w14:textFill>
                  <w14:solidFill>
                    <w14:schemeClr w14:val="tx1"/>
                  </w14:solidFill>
                </w14:textFill>
              </w:rPr>
              <w:t>厂区总占地面积为14718m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r>
              <w:rPr>
                <w:bCs/>
                <w:color w:val="000000" w:themeColor="text1"/>
                <w:sz w:val="24"/>
                <w14:textFill>
                  <w14:solidFill>
                    <w14:schemeClr w14:val="tx1"/>
                  </w14:solidFill>
                </w14:textFill>
              </w:rPr>
              <w:t>本项目</w:t>
            </w:r>
            <w:r>
              <w:rPr>
                <w:rFonts w:hint="eastAsia"/>
                <w:bCs/>
                <w:color w:val="000000" w:themeColor="text1"/>
                <w:sz w:val="24"/>
                <w14:textFill>
                  <w14:solidFill>
                    <w14:schemeClr w14:val="tx1"/>
                  </w14:solidFill>
                </w14:textFill>
              </w:rPr>
              <w:t>主要为</w:t>
            </w:r>
            <w:r>
              <w:rPr>
                <w:rFonts w:hint="eastAsia"/>
                <w:color w:val="000000" w:themeColor="text1"/>
                <w:spacing w:val="-4"/>
                <w:sz w:val="24"/>
                <w14:textFill>
                  <w14:solidFill>
                    <w14:schemeClr w14:val="tx1"/>
                  </w14:solidFill>
                </w14:textFill>
              </w:rPr>
              <w:t>生产车间、破碎车间、原料堆场、成品库和办公生活区及相关环保设施的建设，购置破碎机、干粉添加剂、双轴搅拌机、煤球机等生产设备，配套消防、供电、供水等设施</w:t>
            </w:r>
            <w:r>
              <w:rPr>
                <w:rFonts w:hint="eastAsia"/>
                <w:bCs/>
                <w:color w:val="000000" w:themeColor="text1"/>
                <w:sz w:val="24"/>
                <w14:textFill>
                  <w14:solidFill>
                    <w14:schemeClr w14:val="tx1"/>
                  </w14:solidFill>
                </w14:textFill>
              </w:rPr>
              <w:t>，建成全厂生产规模年产50万吨型煤。项目总投资1000万元。</w:t>
            </w:r>
          </w:p>
          <w:p>
            <w:pPr>
              <w:spacing w:line="480" w:lineRule="exact"/>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、环境质量现状</w:t>
            </w:r>
          </w:p>
          <w:p>
            <w:pPr>
              <w:spacing w:line="480" w:lineRule="exact"/>
              <w:ind w:firstLine="472" w:firstLineChars="200"/>
              <w:rPr>
                <w:color w:val="000000" w:themeColor="text1"/>
                <w:sz w:val="24"/>
                <w:szCs w:val="22"/>
                <w14:textFill>
                  <w14:solidFill>
                    <w14:schemeClr w14:val="tx1"/>
                  </w14:solidFill>
                </w14:textFill>
              </w:rPr>
            </w:pPr>
            <w:r>
              <w:rPr>
                <w:color w:val="000000" w:themeColor="text1"/>
                <w:spacing w:val="-2"/>
                <w:sz w:val="24"/>
                <w14:textFill>
                  <w14:solidFill>
                    <w14:schemeClr w14:val="tx1"/>
                  </w14:solidFill>
                </w14:textFill>
              </w:rPr>
              <w:t>本次评价收集到了</w:t>
            </w:r>
            <w:r>
              <w:rPr>
                <w:rFonts w:hint="eastAsia"/>
                <w:color w:val="000000" w:themeColor="text1"/>
                <w:spacing w:val="-2"/>
                <w:sz w:val="24"/>
                <w14:textFill>
                  <w14:solidFill>
                    <w14:schemeClr w14:val="tx1"/>
                  </w14:solidFill>
                </w14:textFill>
              </w:rPr>
              <w:t>宁武县</w:t>
            </w:r>
            <w:r>
              <w:rPr>
                <w:color w:val="000000" w:themeColor="text1"/>
                <w:spacing w:val="-2"/>
                <w:sz w:val="24"/>
                <w14:textFill>
                  <w14:solidFill>
                    <w14:schemeClr w14:val="tx1"/>
                  </w14:solidFill>
                </w14:textFill>
              </w:rPr>
              <w:t>城201</w:t>
            </w:r>
            <w:r>
              <w:rPr>
                <w:rFonts w:hint="eastAsia"/>
                <w:color w:val="000000" w:themeColor="text1"/>
                <w:spacing w:val="-2"/>
                <w:sz w:val="24"/>
                <w14:textFill>
                  <w14:solidFill>
                    <w14:schemeClr w14:val="tx1"/>
                  </w14:solidFill>
                </w14:textFill>
              </w:rPr>
              <w:t>9</w:t>
            </w:r>
            <w:r>
              <w:rPr>
                <w:color w:val="000000" w:themeColor="text1"/>
                <w:spacing w:val="-2"/>
                <w:sz w:val="24"/>
                <w14:textFill>
                  <w14:solidFill>
                    <w14:schemeClr w14:val="tx1"/>
                  </w14:solidFill>
                </w14:textFill>
              </w:rPr>
              <w:t>年例行监测数据，</w:t>
            </w:r>
            <w:r>
              <w:rPr>
                <w:rFonts w:hint="eastAsia"/>
                <w:color w:val="000000" w:themeColor="text1"/>
                <w:spacing w:val="-2"/>
                <w:sz w:val="24"/>
                <w14:textFill>
                  <w14:solidFill>
                    <w14:schemeClr w14:val="tx1"/>
                  </w14:solidFill>
                </w14:textFill>
              </w:rPr>
              <w:t>由监测结果可知，</w:t>
            </w:r>
            <w:r>
              <w:rPr>
                <w:color w:val="000000" w:themeColor="text1"/>
                <w:sz w:val="24"/>
                <w14:textFill>
                  <w14:solidFill>
                    <w14:schemeClr w14:val="tx1"/>
                  </w14:solidFill>
                </w14:textFill>
              </w:rPr>
              <w:t>CO</w:t>
            </w:r>
            <w:r>
              <w:rPr>
                <w:rFonts w:hint="eastAsia"/>
                <w:color w:val="000000" w:themeColor="text1"/>
                <w:sz w:val="24"/>
                <w14:textFill>
                  <w14:solidFill>
                    <w14:schemeClr w14:val="tx1"/>
                  </w14:solidFill>
                </w14:textFill>
              </w:rPr>
              <w:t>百分位数日平均质量浓度、</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rFonts w:hint="eastAsia"/>
                <w:color w:val="000000" w:themeColor="text1"/>
                <w:sz w:val="24"/>
                <w14:textFill>
                  <w14:solidFill>
                    <w14:schemeClr w14:val="tx1"/>
                  </w14:solidFill>
                </w14:textFill>
              </w:rPr>
              <w:t>年平均质量浓度及</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百分位数质量浓度均达标。</w:t>
            </w:r>
            <w:r>
              <w:rPr>
                <w:rFonts w:hint="eastAsia"/>
                <w:color w:val="000000" w:themeColor="text1"/>
                <w:sz w:val="24"/>
                <w:szCs w:val="22"/>
                <w14:textFill>
                  <w14:solidFill>
                    <w14:schemeClr w14:val="tx1"/>
                  </w14:solidFill>
                </w14:textFill>
              </w:rPr>
              <w:t>说明本项目所在区域为达标区。</w:t>
            </w:r>
          </w:p>
          <w:p>
            <w:pPr>
              <w:spacing w:line="480" w:lineRule="exact"/>
              <w:ind w:firstLine="496" w:firstLineChars="200"/>
              <w:rPr>
                <w:rFonts w:cs="宋体"/>
                <w:bCs/>
                <w:color w:val="000000" w:themeColor="text1"/>
                <w:spacing w:val="4"/>
                <w:sz w:val="24"/>
                <w14:textFill>
                  <w14:solidFill>
                    <w14:schemeClr w14:val="tx1"/>
                  </w14:solidFill>
                </w14:textFill>
              </w:rPr>
            </w:pPr>
            <w:r>
              <w:rPr>
                <w:rFonts w:hint="eastAsia" w:cs="宋体"/>
                <w:bCs/>
                <w:color w:val="000000" w:themeColor="text1"/>
                <w:spacing w:val="4"/>
                <w:sz w:val="24"/>
                <w14:textFill>
                  <w14:solidFill>
                    <w14:schemeClr w14:val="tx1"/>
                  </w14:solidFill>
                </w14:textFill>
              </w:rPr>
              <w:t>项目所在区域地表水体为厂区北侧310m处的石湖河，本项目废水零排放，不会对地表水体产生影响，因此本次本次评价未进行地表水环境质量现状的监测。</w:t>
            </w:r>
          </w:p>
          <w:p>
            <w:pPr>
              <w:spacing w:line="480" w:lineRule="exact"/>
              <w:ind w:firstLine="480" w:firstLineChars="200"/>
              <w:rPr>
                <w:rFonts w:cs="宋体"/>
                <w:bCs/>
                <w:color w:val="000000" w:themeColor="text1"/>
                <w:spacing w:val="4"/>
                <w:sz w:val="24"/>
                <w14:textFill>
                  <w14:solidFill>
                    <w14:schemeClr w14:val="tx1"/>
                  </w14:solidFill>
                </w14:textFill>
              </w:rPr>
            </w:pPr>
            <w:r>
              <w:rPr>
                <w:sz w:val="24"/>
              </w:rPr>
              <w:t>建设单位委托</w:t>
            </w:r>
            <w:r>
              <w:rPr>
                <w:rFonts w:hint="eastAsia"/>
                <w:color w:val="000000" w:themeColor="text1"/>
                <w:spacing w:val="-2"/>
                <w:sz w:val="24"/>
                <w14:textFill>
                  <w14:solidFill>
                    <w14:schemeClr w14:val="tx1"/>
                  </w14:solidFill>
                </w14:textFill>
              </w:rPr>
              <w:t>山西昌兴同创安全技术服务有限公司</w:t>
            </w:r>
            <w:r>
              <w:rPr>
                <w:rFonts w:hint="eastAsia"/>
                <w:sz w:val="24"/>
              </w:rPr>
              <w:t>于</w:t>
            </w:r>
            <w:r>
              <w:rPr>
                <w:sz w:val="24"/>
              </w:rPr>
              <w:t>20</w:t>
            </w:r>
            <w:r>
              <w:rPr>
                <w:rFonts w:hint="eastAsia"/>
                <w:sz w:val="24"/>
              </w:rPr>
              <w:t>20年12月20日</w:t>
            </w:r>
            <w:r>
              <w:rPr>
                <w:rFonts w:hint="eastAsia"/>
                <w:bCs/>
                <w:sz w:val="24"/>
              </w:rPr>
              <w:t>对项目厂界四周</w:t>
            </w:r>
            <w:r>
              <w:rPr>
                <w:rFonts w:hint="eastAsia"/>
                <w:sz w:val="24"/>
              </w:rPr>
              <w:t>声环境进行了现状监测</w:t>
            </w:r>
            <w:r>
              <w:rPr>
                <w:sz w:val="24"/>
              </w:rPr>
              <w:t>。由监测结果可知，</w:t>
            </w:r>
            <w:r>
              <w:rPr>
                <w:rFonts w:hint="eastAsia"/>
                <w:bCs/>
                <w:sz w:val="24"/>
              </w:rPr>
              <w:t>项目厂界四周</w:t>
            </w:r>
            <w:r>
              <w:rPr>
                <w:rFonts w:hint="eastAsia"/>
                <w:sz w:val="24"/>
              </w:rPr>
              <w:t>昼间、夜间噪声值均未超过《声环境质量标准》</w:t>
            </w:r>
            <w:r>
              <w:rPr>
                <w:sz w:val="24"/>
              </w:rPr>
              <w:t>(GB3096-2008)</w:t>
            </w:r>
            <w:r>
              <w:rPr>
                <w:rFonts w:hint="eastAsia"/>
                <w:sz w:val="24"/>
              </w:rPr>
              <w:t>中的1类标准限值要求，</w:t>
            </w:r>
            <w:r>
              <w:rPr>
                <w:sz w:val="24"/>
              </w:rPr>
              <w:t>说明当地声环境质量现状良好。</w:t>
            </w:r>
          </w:p>
          <w:p>
            <w:pPr>
              <w:spacing w:line="480" w:lineRule="exact"/>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、环境保护措施及主要环境影响</w:t>
            </w:r>
          </w:p>
          <w:p>
            <w:pPr>
              <w:spacing w:line="48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（1）废气</w:t>
            </w:r>
          </w:p>
          <w:p>
            <w:pPr>
              <w:spacing w:line="480" w:lineRule="exact"/>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原料</w:t>
            </w:r>
            <w:r>
              <w:rPr>
                <w:rFonts w:hint="eastAsia"/>
                <w:color w:val="000000" w:themeColor="text1"/>
                <w:sz w:val="24"/>
                <w14:textFill>
                  <w14:solidFill>
                    <w14:schemeClr w14:val="tx1"/>
                  </w14:solidFill>
                </w14:textFill>
              </w:rPr>
              <w:t>及产品</w:t>
            </w:r>
            <w:r>
              <w:rPr>
                <w:color w:val="000000" w:themeColor="text1"/>
                <w:sz w:val="24"/>
                <w14:textFill>
                  <w14:solidFill>
                    <w14:schemeClr w14:val="tx1"/>
                  </w14:solidFill>
                </w14:textFill>
              </w:rPr>
              <w:t>置于全封闭的</w:t>
            </w:r>
            <w:r>
              <w:rPr>
                <w:rFonts w:hint="eastAsia"/>
                <w:color w:val="000000" w:themeColor="text1"/>
                <w:sz w:val="24"/>
                <w14:textFill>
                  <w14:solidFill>
                    <w14:schemeClr w14:val="tx1"/>
                  </w14:solidFill>
                </w14:textFill>
              </w:rPr>
              <w:t>库房</w:t>
            </w:r>
            <w:r>
              <w:rPr>
                <w:color w:val="000000" w:themeColor="text1"/>
                <w:sz w:val="24"/>
                <w14:textFill>
                  <w14:solidFill>
                    <w14:schemeClr w14:val="tx1"/>
                  </w14:solidFill>
                </w14:textFill>
              </w:rPr>
              <w:t>内，破碎工序进行全封闭，</w:t>
            </w:r>
            <w:r>
              <w:rPr>
                <w:rFonts w:hint="eastAsia"/>
                <w:bCs/>
                <w:color w:val="000000" w:themeColor="text1"/>
                <w:sz w:val="24"/>
                <w14:textFill>
                  <w14:solidFill>
                    <w14:schemeClr w14:val="tx1"/>
                  </w14:solidFill>
                </w14:textFill>
              </w:rPr>
              <w:t>破碎机进出料口安装集气罩，采用集气罩+高效布袋除尘器（1套）进行处理，集尘效率可达99%，除尘效率达99%。处理后的</w:t>
            </w:r>
            <w:r>
              <w:rPr>
                <w:bCs/>
                <w:color w:val="000000" w:themeColor="text1"/>
                <w:sz w:val="24"/>
                <w14:textFill>
                  <w14:solidFill>
                    <w14:schemeClr w14:val="tx1"/>
                  </w14:solidFill>
                </w14:textFill>
              </w:rPr>
              <w:t>废气通过</w:t>
            </w:r>
            <w:r>
              <w:rPr>
                <w:rFonts w:hint="eastAsia"/>
                <w:bCs/>
                <w:color w:val="000000" w:themeColor="text1"/>
                <w:sz w:val="24"/>
                <w14:textFill>
                  <w14:solidFill>
                    <w14:schemeClr w14:val="tx1"/>
                  </w14:solidFill>
                </w14:textFill>
              </w:rPr>
              <w:t>15</w:t>
            </w:r>
            <w:r>
              <w:rPr>
                <w:bCs/>
                <w:color w:val="000000" w:themeColor="text1"/>
                <w:sz w:val="24"/>
                <w14:textFill>
                  <w14:solidFill>
                    <w14:schemeClr w14:val="tx1"/>
                  </w14:solidFill>
                </w14:textFill>
              </w:rPr>
              <w:t>m高的排气筒外排</w:t>
            </w:r>
            <w:r>
              <w:rPr>
                <w:color w:val="000000" w:themeColor="text1"/>
                <w:sz w:val="24"/>
                <w14:textFill>
                  <w14:solidFill>
                    <w14:schemeClr w14:val="tx1"/>
                  </w14:solidFill>
                </w14:textFill>
              </w:rPr>
              <w:t>，物料输送皮带全封闭，粉尘排放浓度</w:t>
            </w:r>
            <w:r>
              <w:rPr>
                <w:rFonts w:hint="eastAsia"/>
                <w:color w:val="000000" w:themeColor="text1"/>
                <w:sz w:val="24"/>
                <w14:textFill>
                  <w14:solidFill>
                    <w14:schemeClr w14:val="tx1"/>
                  </w14:solidFill>
                </w14:textFill>
              </w:rPr>
              <w:t>均</w:t>
            </w:r>
            <w:r>
              <w:rPr>
                <w:color w:val="000000" w:themeColor="text1"/>
                <w:sz w:val="24"/>
                <w14:textFill>
                  <w14:solidFill>
                    <w14:schemeClr w14:val="tx1"/>
                  </w14:solidFill>
                </w14:textFill>
              </w:rPr>
              <w:t>满足</w:t>
            </w:r>
            <w:r>
              <w:rPr>
                <w:rFonts w:hint="eastAsia"/>
                <w:color w:val="000000" w:themeColor="text1"/>
                <w:sz w:val="24"/>
                <w14:textFill>
                  <w14:solidFill>
                    <w14:schemeClr w14:val="tx1"/>
                  </w14:solidFill>
                </w14:textFill>
              </w:rPr>
              <w:t>《煤炭工业污染物排放标准》（</w:t>
            </w:r>
            <w:r>
              <w:rPr>
                <w:color w:val="000000" w:themeColor="text1"/>
                <w:sz w:val="24"/>
                <w14:textFill>
                  <w14:solidFill>
                    <w14:schemeClr w14:val="tx1"/>
                  </w14:solidFill>
                </w14:textFill>
              </w:rPr>
              <w:t>GB20426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2006</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和表</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规定的限值要求</w:t>
            </w:r>
            <w:r>
              <w:rPr>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水污染物</w:t>
            </w:r>
          </w:p>
          <w:p>
            <w:pPr>
              <w:pStyle w:val="16"/>
              <w:spacing w:after="0" w:line="480" w:lineRule="exact"/>
              <w:ind w:firstLine="480" w:firstLineChars="200"/>
              <w:jc w:val="left"/>
              <w:rPr>
                <w:color w:val="000000" w:themeColor="text1"/>
                <w:kern w:val="2"/>
                <w:sz w:val="24"/>
                <w14:textFill>
                  <w14:solidFill>
                    <w14:schemeClr w14:val="tx1"/>
                  </w14:solidFill>
                </w14:textFill>
              </w:rPr>
            </w:pPr>
            <w:r>
              <w:rPr>
                <w:color w:val="000000" w:themeColor="text1"/>
                <w:kern w:val="2"/>
                <w:sz w:val="24"/>
                <w14:textFill>
                  <w14:solidFill>
                    <w14:schemeClr w14:val="tx1"/>
                  </w14:solidFill>
                </w14:textFill>
              </w:rPr>
              <w:t>职工生活污水产生量很小，用于厂区洒水抑尘</w:t>
            </w:r>
            <w:r>
              <w:rPr>
                <w:rFonts w:hint="eastAsia"/>
                <w:color w:val="000000" w:themeColor="text1"/>
                <w:kern w:val="2"/>
                <w:sz w:val="24"/>
                <w14:textFill>
                  <w14:solidFill>
                    <w14:schemeClr w14:val="tx1"/>
                  </w14:solidFill>
                </w14:textFill>
              </w:rPr>
              <w:t>，不外排，</w:t>
            </w:r>
            <w:r>
              <w:rPr>
                <w:rFonts w:hint="eastAsia"/>
                <w:bCs/>
                <w:color w:val="000000" w:themeColor="text1"/>
                <w:kern w:val="2"/>
                <w:sz w:val="24"/>
                <w14:textFill>
                  <w14:solidFill>
                    <w14:schemeClr w14:val="tx1"/>
                  </w14:solidFill>
                </w14:textFill>
              </w:rPr>
              <w:t>洗车废水</w:t>
            </w:r>
            <w:r>
              <w:rPr>
                <w:rFonts w:hint="eastAsia"/>
                <w:color w:val="000000" w:themeColor="text1"/>
                <w:kern w:val="2"/>
                <w:sz w:val="24"/>
                <w14:textFill>
                  <w14:solidFill>
                    <w14:schemeClr w14:val="tx1"/>
                  </w14:solidFill>
                </w14:textFill>
              </w:rPr>
              <w:t>排入沉淀池，经沉淀后，进入循环水池循环使用，不外排。不会对周边地表水产生影响</w:t>
            </w:r>
            <w:r>
              <w:rPr>
                <w:color w:val="000000" w:themeColor="text1"/>
                <w:kern w:val="2"/>
                <w:sz w:val="24"/>
                <w14:textFill>
                  <w14:solidFill>
                    <w14:schemeClr w14:val="tx1"/>
                  </w14:solidFill>
                </w14:textFill>
              </w:rPr>
              <w:t>。</w:t>
            </w:r>
          </w:p>
          <w:p>
            <w:pPr>
              <w:spacing w:line="460" w:lineRule="exact"/>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固体废物</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本项目产生的固体废物</w:t>
            </w:r>
            <w:r>
              <w:rPr>
                <w:color w:val="000000" w:themeColor="text1"/>
                <w:sz w:val="24"/>
                <w14:textFill>
                  <w14:solidFill>
                    <w14:schemeClr w14:val="tx1"/>
                  </w14:solidFill>
                </w14:textFill>
              </w:rPr>
              <w:t>除尘灰</w:t>
            </w:r>
            <w:r>
              <w:rPr>
                <w:rFonts w:hint="eastAsia"/>
                <w:color w:val="000000" w:themeColor="text1"/>
                <w:sz w:val="24"/>
                <w14:textFill>
                  <w14:solidFill>
                    <w14:schemeClr w14:val="tx1"/>
                  </w14:solidFill>
                </w14:textFill>
              </w:rPr>
              <w:t>收集后作为生产原料用于生产系统，生活垃圾由</w:t>
            </w:r>
            <w:r>
              <w:rPr>
                <w:color w:val="000000" w:themeColor="text1"/>
                <w:sz w:val="24"/>
                <w14:textFill>
                  <w14:solidFill>
                    <w14:schemeClr w14:val="tx1"/>
                  </w14:solidFill>
                </w14:textFill>
              </w:rPr>
              <w:t>垃圾桶集中收集后</w:t>
            </w:r>
            <w:r>
              <w:rPr>
                <w:rFonts w:hint="eastAsia"/>
                <w:color w:val="000000" w:themeColor="text1"/>
                <w:sz w:val="24"/>
                <w14:textFill>
                  <w14:solidFill>
                    <w14:schemeClr w14:val="tx1"/>
                  </w14:solidFill>
                </w14:textFill>
              </w:rPr>
              <w:t>送环卫部门处置，</w:t>
            </w:r>
            <w:r>
              <w:rPr>
                <w:color w:val="000000" w:themeColor="text1"/>
                <w:sz w:val="24"/>
                <w14:textFill>
                  <w14:solidFill>
                    <w14:schemeClr w14:val="tx1"/>
                  </w14:solidFill>
                </w14:textFill>
              </w:rPr>
              <w:t>不会对周围环境造成影响。</w:t>
            </w:r>
          </w:p>
          <w:p>
            <w:pPr>
              <w:spacing w:line="460" w:lineRule="exact"/>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噪声</w:t>
            </w:r>
          </w:p>
          <w:p>
            <w:pPr>
              <w:spacing w:line="46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本项目噪声主要来自</w:t>
            </w:r>
            <w:r>
              <w:rPr>
                <w:rFonts w:hint="eastAsia"/>
                <w:color w:val="000000" w:themeColor="text1"/>
                <w:sz w:val="24"/>
                <w14:textFill>
                  <w14:solidFill>
                    <w14:schemeClr w14:val="tx1"/>
                  </w14:solidFill>
                </w14:textFill>
              </w:rPr>
              <w:t>给料机、破碎机、搅拌机、压球机、皮带机、风机</w:t>
            </w:r>
            <w:r>
              <w:rPr>
                <w:color w:val="000000" w:themeColor="text1"/>
                <w:sz w:val="24"/>
                <w14:textFill>
                  <w14:solidFill>
                    <w14:schemeClr w14:val="tx1"/>
                  </w14:solidFill>
                </w14:textFill>
              </w:rPr>
              <w:t>等运行时产生的噪声和运输汽车产生的噪声，建设单位通过选择低噪声设备，封闭隔声、基础减振、定期维护，加强厂区绿化等措施降低噪声后对周围敏感点产生的影响很小。</w:t>
            </w:r>
          </w:p>
          <w:p>
            <w:pPr>
              <w:spacing w:line="480" w:lineRule="exact"/>
              <w:ind w:firstLine="590" w:firstLineChars="245"/>
              <w:rPr>
                <w:rFonts w:eastAsia="黑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rFonts w:eastAsia="黑体"/>
                <w:color w:val="000000" w:themeColor="text1"/>
                <w:sz w:val="24"/>
                <w14:textFill>
                  <w14:solidFill>
                    <w14:schemeClr w14:val="tx1"/>
                  </w14:solidFill>
                </w14:textFill>
              </w:rPr>
              <w:t>污染物排放情况</w:t>
            </w:r>
          </w:p>
          <w:p>
            <w:pPr>
              <w:autoSpaceDE w:val="0"/>
              <w:autoSpaceDN w:val="0"/>
              <w:spacing w:line="480" w:lineRule="exact"/>
              <w:ind w:firstLine="480"/>
              <w:rPr>
                <w:b/>
                <w:color w:val="000000" w:themeColor="text1"/>
                <w:sz w:val="24"/>
                <w14:textFill>
                  <w14:solidFill>
                    <w14:schemeClr w14:val="tx1"/>
                  </w14:solidFill>
                </w14:textFill>
              </w:rPr>
            </w:pPr>
            <w:r>
              <w:rPr>
                <w:color w:val="000000" w:themeColor="text1"/>
                <w:sz w:val="24"/>
                <w14:textFill>
                  <w14:solidFill>
                    <w14:schemeClr w14:val="tx1"/>
                  </w14:solidFill>
                </w14:textFill>
              </w:rPr>
              <w:t>本项目建成后排放的污染物</w:t>
            </w:r>
            <w:r>
              <w:rPr>
                <w:rFonts w:hint="eastAsia"/>
                <w:color w:val="000000" w:themeColor="text1"/>
                <w:sz w:val="24"/>
                <w14:textFill>
                  <w14:solidFill>
                    <w14:schemeClr w14:val="tx1"/>
                  </w14:solidFill>
                </w14:textFill>
              </w:rPr>
              <w:t>主要</w:t>
            </w:r>
            <w:r>
              <w:rPr>
                <w:color w:val="000000" w:themeColor="text1"/>
                <w:sz w:val="24"/>
                <w14:textFill>
                  <w14:solidFill>
                    <w14:schemeClr w14:val="tx1"/>
                  </w14:solidFill>
                </w14:textFill>
              </w:rPr>
              <w:t>为大气污染物</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包括破碎</w:t>
            </w:r>
            <w:r>
              <w:rPr>
                <w:rFonts w:hint="eastAsia"/>
                <w:color w:val="000000" w:themeColor="text1"/>
                <w:sz w:val="24"/>
                <w14:textFill>
                  <w14:solidFill>
                    <w14:schemeClr w14:val="tx1"/>
                  </w14:solidFill>
                </w14:textFill>
              </w:rPr>
              <w:t>工序排放</w:t>
            </w:r>
            <w:r>
              <w:rPr>
                <w:color w:val="000000" w:themeColor="text1"/>
                <w:sz w:val="24"/>
                <w14:textFill>
                  <w14:solidFill>
                    <w14:schemeClr w14:val="tx1"/>
                  </w14:solidFill>
                </w14:textFill>
              </w:rPr>
              <w:t>的粉尘，</w:t>
            </w:r>
            <w:r>
              <w:rPr>
                <w:rFonts w:hint="eastAsia"/>
                <w:color w:val="000000" w:themeColor="text1"/>
                <w:sz w:val="24"/>
                <w14:textFill>
                  <w14:solidFill>
                    <w14:schemeClr w14:val="tx1"/>
                  </w14:solidFill>
                </w14:textFill>
              </w:rPr>
              <w:t>总量控制指标为：粉尘：0.96</w:t>
            </w:r>
            <w:r>
              <w:rPr>
                <w:color w:val="000000" w:themeColor="text1"/>
                <w:sz w:val="24"/>
                <w14:textFill>
                  <w14:solidFill>
                    <w14:schemeClr w14:val="tx1"/>
                  </w14:solidFill>
                </w14:textFill>
              </w:rPr>
              <w:t>t/a。</w:t>
            </w:r>
          </w:p>
          <w:p>
            <w:pPr>
              <w:spacing w:line="480" w:lineRule="exact"/>
              <w:ind w:firstLine="482" w:firstLineChars="200"/>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rFonts w:hAnsi="Calibri"/>
                <w:b/>
                <w:color w:val="000000" w:themeColor="text1"/>
                <w:sz w:val="24"/>
                <w:szCs w:val="22"/>
                <w14:textFill>
                  <w14:solidFill>
                    <w14:schemeClr w14:val="tx1"/>
                  </w14:solidFill>
                </w14:textFill>
              </w:rPr>
              <w:t>环境保护管理与监测计划</w:t>
            </w:r>
          </w:p>
          <w:p>
            <w:pPr>
              <w:pStyle w:val="107"/>
              <w:spacing w:line="480" w:lineRule="exact"/>
              <w:ind w:left="0" w:right="0" w:firstLine="480" w:firstLineChars="200"/>
              <w:jc w:val="both"/>
              <w:rPr>
                <w:color w:val="000000" w:themeColor="text1"/>
                <w:kern w:val="10"/>
                <w:szCs w:val="24"/>
                <w14:textFill>
                  <w14:solidFill>
                    <w14:schemeClr w14:val="tx1"/>
                  </w14:solidFill>
                </w14:textFill>
              </w:rPr>
            </w:pPr>
            <w:r>
              <w:rPr>
                <w:color w:val="000000" w:themeColor="text1"/>
                <w:szCs w:val="24"/>
                <w14:textFill>
                  <w14:solidFill>
                    <w14:schemeClr w14:val="tx1"/>
                  </w14:solidFill>
                </w14:textFill>
              </w:rPr>
              <w:t>本项目应严格按照环评报告的要求认真落实环保措施，明确职责，专人管理，切实搞好环境管理和监测工作，保障环保设施的正常运行。</w:t>
            </w:r>
          </w:p>
          <w:p>
            <w:pPr>
              <w:spacing w:line="48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综上所述，</w:t>
            </w:r>
            <w:r>
              <w:rPr>
                <w:rFonts w:hint="eastAsia"/>
                <w:b/>
                <w:color w:val="000000" w:themeColor="text1"/>
                <w:sz w:val="24"/>
                <w14:textFill>
                  <w14:solidFill>
                    <w14:schemeClr w14:val="tx1"/>
                  </w14:solidFill>
                </w14:textFill>
              </w:rPr>
              <w:t>宁武县华盛储售煤有限公司型煤生产项目</w:t>
            </w:r>
            <w:r>
              <w:rPr>
                <w:b/>
                <w:color w:val="000000" w:themeColor="text1"/>
                <w:sz w:val="24"/>
                <w14:textFill>
                  <w14:solidFill>
                    <w14:schemeClr w14:val="tx1"/>
                  </w14:solidFill>
                </w14:textFill>
              </w:rPr>
              <w:t>符合产业政策，项目选址不涉及环境敏感区；在采取各项环保措施后各污染物可达标排放，对周围环境影响较小。因此，从环保角度评价，本项目的建设是可行的。</w:t>
            </w:r>
          </w:p>
          <w:p>
            <w:pPr>
              <w:spacing w:line="480" w:lineRule="exact"/>
              <w:ind w:firstLine="482" w:firstLineChars="200"/>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pStyle w:val="31"/>
              <w:ind w:firstLine="482"/>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pStyle w:val="31"/>
              <w:ind w:firstLine="420"/>
            </w:pPr>
          </w:p>
          <w:p>
            <w:pPr>
              <w:spacing w:line="480" w:lineRule="exact"/>
              <w:ind w:firstLine="480" w:firstLineChars="20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8" w:type="pct"/>
          <w:trHeight w:val="925" w:hRule="atLeast"/>
          <w:jc w:val="center"/>
        </w:trPr>
        <w:tc>
          <w:tcPr>
            <w:tcW w:w="4971" w:type="pct"/>
          </w:tcPr>
          <w:p>
            <w:pPr>
              <w:spacing w:before="156" w:beforeLines="50" w:after="156" w:afterLines="50" w:line="480" w:lineRule="exact"/>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建议：</w:t>
            </w:r>
          </w:p>
          <w:p>
            <w:pPr>
              <w:spacing w:before="50"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1）加强设施管理，加强设施维修，保证设施运行完好。</w:t>
            </w:r>
          </w:p>
          <w:p>
            <w:pPr>
              <w:spacing w:before="50"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2）加强厂区绿化建设，美化环境，降噪减污。</w:t>
            </w:r>
          </w:p>
          <w:p>
            <w:pPr>
              <w:spacing w:before="50" w:line="48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3）加强环境教育，增强环境意识，建议本厂专门设环保人员，落实全厂的环保工作，认</w:t>
            </w:r>
            <w:r>
              <w:rPr>
                <w:rFonts w:hint="eastAsia"/>
                <w:bCs/>
                <w:color w:val="000000" w:themeColor="text1"/>
                <w:sz w:val="24"/>
                <w14:textFill>
                  <w14:solidFill>
                    <w14:schemeClr w14:val="tx1"/>
                  </w14:solidFill>
                </w14:textFill>
              </w:rPr>
              <w:t>真执行环保相关的法律法规，并与环保部门及时联系和沟通。</w:t>
            </w:r>
          </w:p>
          <w:p>
            <w:pPr>
              <w:spacing w:before="50" w:line="480" w:lineRule="exact"/>
              <w:ind w:firstLine="480" w:firstLineChars="200"/>
              <w:rPr>
                <w:bCs/>
                <w:color w:val="000000" w:themeColor="text1"/>
                <w:sz w:val="24"/>
                <w14:textFill>
                  <w14:solidFill>
                    <w14:schemeClr w14:val="tx1"/>
                  </w14:solidFill>
                </w14:textFill>
              </w:rPr>
            </w:pPr>
          </w:p>
          <w:p>
            <w:pPr>
              <w:spacing w:before="50" w:line="480" w:lineRule="exact"/>
              <w:ind w:firstLine="480" w:firstLineChars="200"/>
              <w:rPr>
                <w:bCs/>
                <w:color w:val="000000" w:themeColor="text1"/>
                <w:sz w:val="24"/>
                <w14:textFill>
                  <w14:solidFill>
                    <w14:schemeClr w14:val="tx1"/>
                  </w14:solidFill>
                </w14:textFill>
              </w:rPr>
            </w:pPr>
          </w:p>
          <w:p>
            <w:pPr>
              <w:spacing w:before="50" w:line="480" w:lineRule="exact"/>
              <w:rPr>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2" w:hRule="atLeast"/>
          <w:jc w:val="center"/>
        </w:trPr>
        <w:tc>
          <w:tcPr>
            <w:tcW w:w="5000" w:type="pct"/>
            <w:gridSpan w:val="2"/>
          </w:tcPr>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预审意见:</w:t>
            </w: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 xml:space="preserve">                              公  章</w:t>
            </w:r>
          </w:p>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0" w:hRule="atLeast"/>
          <w:jc w:val="center"/>
        </w:trPr>
        <w:tc>
          <w:tcPr>
            <w:tcW w:w="5000" w:type="pct"/>
            <w:gridSpan w:val="2"/>
          </w:tcPr>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下一级环境保护行政主管部门审查意见：</w:t>
            </w: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 xml:space="preserve">                              公  章</w:t>
            </w:r>
          </w:p>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89" w:hRule="atLeast"/>
          <w:jc w:val="center"/>
        </w:trPr>
        <w:tc>
          <w:tcPr>
            <w:tcW w:w="5000" w:type="pct"/>
            <w:gridSpan w:val="2"/>
          </w:tcPr>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审批意见：</w:t>
            </w: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p>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 xml:space="preserve">                              公  章</w:t>
            </w:r>
          </w:p>
          <w:p>
            <w:pPr>
              <w:spacing w:before="78" w:beforeLines="25" w:line="520" w:lineRule="exact"/>
              <w:rPr>
                <w:b/>
                <w:color w:val="000000" w:themeColor="text1"/>
                <w:sz w:val="32"/>
                <w:szCs w:val="20"/>
                <w14:textFill>
                  <w14:solidFill>
                    <w14:schemeClr w14:val="tx1"/>
                  </w14:solidFill>
                </w14:textFill>
              </w:rPr>
            </w:pPr>
            <w:r>
              <w:rPr>
                <w:b/>
                <w:color w:val="000000" w:themeColor="text1"/>
                <w:sz w:val="32"/>
                <w:szCs w:val="20"/>
                <w14:textFill>
                  <w14:solidFill>
                    <w14:schemeClr w14:val="tx1"/>
                  </w14:solidFill>
                </w14:textFill>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47" w:hRule="atLeast"/>
          <w:jc w:val="center"/>
        </w:trPr>
        <w:tc>
          <w:tcPr>
            <w:tcW w:w="5000" w:type="pct"/>
            <w:gridSpan w:val="2"/>
          </w:tcPr>
          <w:p>
            <w:pPr>
              <w:spacing w:before="78" w:beforeLines="25" w:line="520" w:lineRule="exact"/>
              <w:jc w:val="center"/>
              <w:rPr>
                <w:color w:val="000000" w:themeColor="text1"/>
                <w:sz w:val="28"/>
                <w:szCs w:val="28"/>
                <w14:textFill>
                  <w14:solidFill>
                    <w14:schemeClr w14:val="tx1"/>
                  </w14:solidFill>
                </w14:textFill>
              </w:rPr>
            </w:pPr>
            <w:r>
              <w:rPr>
                <w:rFonts w:eastAsia="黑体"/>
                <w:b/>
                <w:color w:val="000000" w:themeColor="text1"/>
                <w:sz w:val="36"/>
                <w:szCs w:val="36"/>
                <w14:textFill>
                  <w14:solidFill>
                    <w14:schemeClr w14:val="tx1"/>
                  </w14:solidFill>
                </w14:textFill>
              </w:rPr>
              <w:t>注 释</w:t>
            </w:r>
          </w:p>
          <w:p>
            <w:pPr>
              <w:pStyle w:val="31"/>
              <w:ind w:firstLine="56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一、本报告表应附以下附件、附图：</w:t>
            </w:r>
          </w:p>
          <w:p>
            <w:pPr>
              <w:spacing w:before="78" w:beforeLines="25" w:line="520" w:lineRule="exact"/>
              <w:ind w:left="1691" w:leftChars="272" w:hanging="1120" w:hangingChars="4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附图1  项目地理位置图</w:t>
            </w:r>
          </w:p>
          <w:p>
            <w:pPr>
              <w:spacing w:before="78" w:beforeLines="25" w:line="52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附图2  项目</w:t>
            </w:r>
            <w:r>
              <w:rPr>
                <w:rFonts w:hint="eastAsia"/>
                <w:color w:val="000000" w:themeColor="text1"/>
                <w:sz w:val="28"/>
                <w:szCs w:val="28"/>
                <w14:textFill>
                  <w14:solidFill>
                    <w14:schemeClr w14:val="tx1"/>
                  </w14:solidFill>
                </w14:textFill>
              </w:rPr>
              <w:t>环境保护目标</w:t>
            </w:r>
            <w:r>
              <w:rPr>
                <w:color w:val="000000" w:themeColor="text1"/>
                <w:sz w:val="28"/>
                <w:szCs w:val="28"/>
                <w14:textFill>
                  <w14:solidFill>
                    <w14:schemeClr w14:val="tx1"/>
                  </w14:solidFill>
                </w14:textFill>
              </w:rPr>
              <w:t>图</w:t>
            </w:r>
          </w:p>
          <w:p>
            <w:pPr>
              <w:spacing w:before="78" w:beforeLines="25" w:line="52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附图3  厂区平面布置图</w:t>
            </w:r>
          </w:p>
          <w:p>
            <w:pPr>
              <w:pStyle w:val="31"/>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w:t>
            </w:r>
            <w:r>
              <w:rPr>
                <w:rFonts w:hint="eastAsia" w:ascii="Times New Roman" w:hAnsi="Times New Roman"/>
                <w:color w:val="000000" w:themeColor="text1"/>
                <w:sz w:val="28"/>
                <w:szCs w:val="28"/>
                <w14:textFill>
                  <w14:solidFill>
                    <w14:schemeClr w14:val="tx1"/>
                  </w14:solidFill>
                </w14:textFill>
              </w:rPr>
              <w:t xml:space="preserve">图4  </w:t>
            </w:r>
            <w:r>
              <w:rPr>
                <w:rFonts w:hint="eastAsia"/>
                <w:color w:val="000000" w:themeColor="text1"/>
                <w:sz w:val="28"/>
                <w:szCs w:val="28"/>
                <w14:textFill>
                  <w14:solidFill>
                    <w14:schemeClr w14:val="tx1"/>
                  </w14:solidFill>
                </w14:textFill>
              </w:rPr>
              <w:t>项目地表水系图</w:t>
            </w:r>
          </w:p>
          <w:p>
            <w:pPr>
              <w:pStyle w:val="31"/>
              <w:ind w:firstLine="560"/>
              <w:rPr>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附图5  神头</w:t>
            </w:r>
            <w:r>
              <w:rPr>
                <w:rFonts w:hint="eastAsia"/>
                <w:color w:val="000000" w:themeColor="text1"/>
                <w:sz w:val="28"/>
                <w:szCs w:val="28"/>
                <w14:textFill>
                  <w14:solidFill>
                    <w14:schemeClr w14:val="tx1"/>
                  </w14:solidFill>
                </w14:textFill>
              </w:rPr>
              <w:t>泉域与本项目的位置关系图</w:t>
            </w:r>
          </w:p>
          <w:p>
            <w:pPr>
              <w:pStyle w:val="31"/>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附图</w:t>
            </w:r>
            <w:r>
              <w:rPr>
                <w:rFonts w:hint="eastAsia" w:ascii="Times New Roman" w:hAnsi="Times New Roman"/>
                <w:color w:val="000000" w:themeColor="text1"/>
                <w:sz w:val="28"/>
                <w:szCs w:val="28"/>
                <w14:textFill>
                  <w14:solidFill>
                    <w14:schemeClr w14:val="tx1"/>
                  </w14:solidFill>
                </w14:textFill>
              </w:rPr>
              <w:t>6  项</w:t>
            </w:r>
            <w:r>
              <w:rPr>
                <w:rFonts w:hint="eastAsia"/>
                <w:color w:val="000000" w:themeColor="text1"/>
                <w:sz w:val="28"/>
                <w:szCs w:val="28"/>
                <w14:textFill>
                  <w14:solidFill>
                    <w14:schemeClr w14:val="tx1"/>
                  </w14:solidFill>
                </w14:textFill>
              </w:rPr>
              <w:t>目集中水源地分布图</w:t>
            </w:r>
          </w:p>
          <w:p>
            <w:pPr>
              <w:pStyle w:val="31"/>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附图7  宁武县生态功能区划图</w:t>
            </w:r>
          </w:p>
          <w:p>
            <w:pPr>
              <w:pStyle w:val="31"/>
              <w:ind w:firstLine="560"/>
              <w:rPr>
                <w:rFonts w:ascii="Times New Roman" w:hAnsi="Times New Roman"/>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附图</w:t>
            </w:r>
            <w:r>
              <w:rPr>
                <w:rFonts w:hint="eastAsia" w:ascii="Times New Roman" w:hAnsi="Times New Roman"/>
                <w:color w:val="000000" w:themeColor="text1"/>
                <w:sz w:val="28"/>
                <w:szCs w:val="28"/>
                <w14:textFill>
                  <w14:solidFill>
                    <w14:schemeClr w14:val="tx1"/>
                  </w14:solidFill>
                </w14:textFill>
              </w:rPr>
              <w:t>8  宁武县生态经济区划图</w:t>
            </w:r>
          </w:p>
          <w:p>
            <w:pPr>
              <w:pStyle w:val="31"/>
              <w:ind w:firstLine="56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附图9  宁武县城市总体规划图</w:t>
            </w:r>
          </w:p>
          <w:p>
            <w:pPr>
              <w:pStyle w:val="31"/>
              <w:ind w:firstLine="56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附件1  委托书</w:t>
            </w:r>
          </w:p>
          <w:p>
            <w:pPr>
              <w:pStyle w:val="31"/>
              <w:ind w:firstLine="56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附件2  备案证</w:t>
            </w:r>
          </w:p>
          <w:p>
            <w:pPr>
              <w:pStyle w:val="31"/>
              <w:ind w:firstLine="56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附件3  土地租赁协议</w:t>
            </w:r>
          </w:p>
          <w:p>
            <w:pPr>
              <w:pStyle w:val="31"/>
              <w:ind w:firstLine="560"/>
              <w:rPr>
                <w:rFonts w:hint="eastAsia"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附件4  监测报告</w:t>
            </w:r>
          </w:p>
          <w:p>
            <w:pPr>
              <w:pStyle w:val="31"/>
              <w:ind w:firstLine="560"/>
              <w:rPr>
                <w:rFonts w:hint="default"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附件5  总量核定</w:t>
            </w:r>
          </w:p>
          <w:p>
            <w:pPr>
              <w:pStyle w:val="31"/>
              <w:ind w:firstLine="56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二、如果本报告表不能说明项目产生的污染及环境造成的影响，应进行专项评价。根据建设项目的特点和当地环境特征，应选下列1-2项进行专项评价。</w:t>
            </w:r>
          </w:p>
          <w:p>
            <w:pPr>
              <w:spacing w:before="78" w:beforeLines="25" w:line="52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1、大气环境影响专项评价</w:t>
            </w:r>
          </w:p>
          <w:p>
            <w:pPr>
              <w:spacing w:before="78" w:beforeLines="25" w:line="52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2、水环境影响专项评价（包括地表水和地下水）</w:t>
            </w:r>
          </w:p>
          <w:p>
            <w:pPr>
              <w:spacing w:before="78" w:beforeLines="25" w:line="52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3、生态影响专项评价</w:t>
            </w:r>
          </w:p>
          <w:p>
            <w:pPr>
              <w:spacing w:before="78" w:beforeLines="25" w:line="52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4、声影响专项评价</w:t>
            </w:r>
          </w:p>
          <w:p>
            <w:pPr>
              <w:spacing w:before="78" w:beforeLines="25" w:line="52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5、土壤影响专项评价</w:t>
            </w:r>
          </w:p>
          <w:p>
            <w:pPr>
              <w:spacing w:before="78" w:beforeLines="25" w:line="52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6、固体废弃物影响专项评价</w:t>
            </w:r>
          </w:p>
          <w:p>
            <w:pPr>
              <w:spacing w:before="78" w:beforeLines="25" w:line="520" w:lineRule="exact"/>
              <w:ind w:firstLine="525"/>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以上专项评价未包括的可另列专项，专项评价按照《环境影响评价技术导则》中的要求进行。</w:t>
            </w:r>
          </w:p>
          <w:p>
            <w:pPr>
              <w:spacing w:before="78" w:beforeLines="25" w:line="520" w:lineRule="exact"/>
              <w:rPr>
                <w:color w:val="000000" w:themeColor="text1"/>
                <w:sz w:val="28"/>
                <w:szCs w:val="28"/>
                <w14:textFill>
                  <w14:solidFill>
                    <w14:schemeClr w14:val="tx1"/>
                  </w14:solidFill>
                </w14:textFill>
              </w:rPr>
            </w:pPr>
          </w:p>
        </w:tc>
      </w:tr>
    </w:tbl>
    <w:p>
      <w:pPr>
        <w:spacing w:line="20" w:lineRule="exact"/>
        <w:rPr>
          <w:color w:val="000000" w:themeColor="text1"/>
          <w:sz w:val="24"/>
          <w14:textFill>
            <w14:solidFill>
              <w14:schemeClr w14:val="tx1"/>
            </w14:solidFill>
          </w14:textFill>
        </w:rPr>
        <w:sectPr>
          <w:pgSz w:w="11906" w:h="16838"/>
          <w:pgMar w:top="1440" w:right="1418" w:bottom="1440" w:left="1418" w:header="851" w:footer="992" w:gutter="0"/>
          <w:cols w:space="425" w:num="1"/>
          <w:docGrid w:type="lines" w:linePitch="312" w:charSpace="0"/>
        </w:sectPr>
      </w:pPr>
    </w:p>
    <w:p>
      <w:pPr>
        <w:adjustRightInd w:val="0"/>
        <w:snapToGrid w:val="0"/>
        <w:spacing w:before="156" w:beforeLines="50" w:line="460" w:lineRule="exact"/>
        <w:jc w:val="center"/>
        <w:outlineLvl w:val="0"/>
        <w:rPr>
          <w:rFonts w:eastAsia="黑体"/>
          <w:color w:val="000000"/>
          <w:sz w:val="32"/>
          <w:szCs w:val="32"/>
        </w:rPr>
      </w:pPr>
      <w:bookmarkStart w:id="14" w:name="_Toc147389606"/>
      <w:bookmarkStart w:id="15" w:name="_Toc165691708"/>
      <w:bookmarkStart w:id="16" w:name="_Toc147232229"/>
      <w:r>
        <w:rPr>
          <w:rFonts w:hint="eastAsia" w:eastAsia="黑体"/>
          <w:color w:val="000000"/>
          <w:sz w:val="32"/>
          <w:szCs w:val="32"/>
        </w:rPr>
        <w:t>1.地下水</w:t>
      </w:r>
      <w:r>
        <w:rPr>
          <w:rFonts w:eastAsia="黑体"/>
          <w:color w:val="000000"/>
          <w:sz w:val="32"/>
          <w:szCs w:val="32"/>
        </w:rPr>
        <w:t>环境影响分析</w:t>
      </w:r>
      <w:bookmarkEnd w:id="14"/>
    </w:p>
    <w:bookmarkEnd w:id="15"/>
    <w:bookmarkEnd w:id="16"/>
    <w:p>
      <w:pPr>
        <w:spacing w:line="360" w:lineRule="auto"/>
        <w:jc w:val="left"/>
        <w:textAlignment w:val="center"/>
        <w:outlineLvl w:val="2"/>
        <w:rPr>
          <w:b/>
          <w:color w:val="000000"/>
          <w:spacing w:val="6"/>
          <w:sz w:val="30"/>
          <w:szCs w:val="30"/>
        </w:rPr>
      </w:pPr>
      <w:r>
        <w:rPr>
          <w:rFonts w:hint="eastAsia"/>
          <w:b/>
          <w:color w:val="000000"/>
          <w:spacing w:val="6"/>
          <w:sz w:val="30"/>
          <w:szCs w:val="30"/>
        </w:rPr>
        <w:t>1.1</w:t>
      </w:r>
      <w:r>
        <w:rPr>
          <w:rFonts w:eastAsia="黑体"/>
          <w:bCs/>
          <w:color w:val="000000"/>
          <w:sz w:val="28"/>
          <w:szCs w:val="28"/>
        </w:rPr>
        <w:t>评价等级及评价范围的划分</w:t>
      </w:r>
    </w:p>
    <w:p>
      <w:pPr>
        <w:spacing w:line="480" w:lineRule="exact"/>
        <w:outlineLvl w:val="3"/>
        <w:rPr>
          <w:rFonts w:eastAsia="黑体"/>
          <w:color w:val="000000"/>
          <w:sz w:val="24"/>
          <w:szCs w:val="21"/>
        </w:rPr>
      </w:pPr>
      <w:r>
        <w:rPr>
          <w:rFonts w:hint="eastAsia" w:eastAsia="黑体"/>
          <w:color w:val="000000"/>
          <w:sz w:val="24"/>
          <w:szCs w:val="21"/>
        </w:rPr>
        <w:t>1.1</w:t>
      </w:r>
      <w:r>
        <w:rPr>
          <w:rFonts w:eastAsia="黑体"/>
          <w:color w:val="000000"/>
          <w:sz w:val="24"/>
          <w:szCs w:val="21"/>
        </w:rPr>
        <w:t>.1</w:t>
      </w:r>
      <w:r>
        <w:rPr>
          <w:rFonts w:hint="eastAsia" w:eastAsia="黑体"/>
          <w:color w:val="000000"/>
          <w:sz w:val="24"/>
          <w:szCs w:val="21"/>
        </w:rPr>
        <w:t>评价等级划分</w:t>
      </w:r>
    </w:p>
    <w:p>
      <w:pPr>
        <w:spacing w:line="480" w:lineRule="exact"/>
        <w:ind w:firstLine="482"/>
        <w:rPr>
          <w:rFonts w:hAnsi="宋体"/>
          <w:color w:val="000000"/>
          <w:sz w:val="24"/>
        </w:rPr>
      </w:pPr>
      <w:r>
        <w:rPr>
          <w:rFonts w:hint="eastAsia" w:hAnsi="宋体"/>
          <w:color w:val="000000"/>
          <w:sz w:val="24"/>
        </w:rPr>
        <w:t>根据</w:t>
      </w:r>
      <w:r>
        <w:rPr>
          <w:rFonts w:hAnsi="宋体"/>
          <w:color w:val="000000"/>
          <w:sz w:val="24"/>
        </w:rPr>
        <w:t>《环境影响评价技术导则 地下水环境》（HJ610-201</w:t>
      </w:r>
      <w:r>
        <w:rPr>
          <w:rFonts w:hint="eastAsia" w:hAnsi="宋体"/>
          <w:color w:val="000000"/>
          <w:sz w:val="24"/>
        </w:rPr>
        <w:t>6</w:t>
      </w:r>
      <w:r>
        <w:rPr>
          <w:rFonts w:hAnsi="宋体"/>
          <w:color w:val="000000"/>
          <w:sz w:val="24"/>
        </w:rPr>
        <w:t>）</w:t>
      </w:r>
      <w:r>
        <w:rPr>
          <w:rFonts w:hint="eastAsia" w:hAnsi="宋体"/>
          <w:color w:val="000000"/>
          <w:sz w:val="24"/>
        </w:rPr>
        <w:t>附录A地下水环境影响评价行业分类表：本项目为D、煤炭 27、型煤、水煤浆生产，属于Ⅲ类项目。</w:t>
      </w:r>
    </w:p>
    <w:p>
      <w:pPr>
        <w:spacing w:line="480" w:lineRule="exact"/>
        <w:ind w:firstLine="482"/>
        <w:rPr>
          <w:color w:val="000000"/>
          <w:sz w:val="24"/>
        </w:rPr>
      </w:pPr>
      <w:r>
        <w:rPr>
          <w:rFonts w:hint="eastAsia"/>
          <w:color w:val="000000"/>
          <w:sz w:val="24"/>
        </w:rPr>
        <w:t>（1）</w:t>
      </w:r>
      <w:r>
        <w:rPr>
          <w:rFonts w:hAnsi="宋体"/>
          <w:color w:val="000000"/>
          <w:sz w:val="24"/>
        </w:rPr>
        <w:t>地下水环境敏感程度</w:t>
      </w:r>
    </w:p>
    <w:p>
      <w:pPr>
        <w:spacing w:line="480" w:lineRule="exact"/>
        <w:ind w:firstLine="482"/>
        <w:rPr>
          <w:color w:val="000000"/>
          <w:sz w:val="24"/>
        </w:rPr>
      </w:pPr>
      <w:r>
        <w:rPr>
          <w:rFonts w:hAnsi="宋体"/>
          <w:color w:val="000000"/>
          <w:sz w:val="24"/>
        </w:rPr>
        <w:t>建设项目的地下水环境敏感程度可分为敏感、较敏感、不敏感三级，分级原则见表</w:t>
      </w:r>
      <w:r>
        <w:rPr>
          <w:rFonts w:hint="eastAsia"/>
          <w:color w:val="000000"/>
          <w:sz w:val="24"/>
        </w:rPr>
        <w:t>1-1</w:t>
      </w:r>
      <w:r>
        <w:rPr>
          <w:rFonts w:hAnsi="宋体"/>
          <w:color w:val="000000"/>
          <w:sz w:val="24"/>
        </w:rPr>
        <w:t>。</w:t>
      </w:r>
    </w:p>
    <w:p>
      <w:pPr>
        <w:spacing w:before="156" w:beforeLines="50" w:line="440" w:lineRule="exact"/>
        <w:ind w:firstLine="482"/>
        <w:jc w:val="center"/>
        <w:rPr>
          <w:b/>
          <w:color w:val="000000"/>
          <w:sz w:val="24"/>
        </w:rPr>
      </w:pPr>
      <w:r>
        <w:rPr>
          <w:rFonts w:hAnsi="宋体"/>
          <w:b/>
          <w:color w:val="000000"/>
          <w:sz w:val="24"/>
        </w:rPr>
        <w:t>表</w:t>
      </w:r>
      <w:r>
        <w:rPr>
          <w:rFonts w:hint="eastAsia"/>
          <w:b/>
          <w:color w:val="000000"/>
          <w:sz w:val="24"/>
        </w:rPr>
        <w:t>1-1</w:t>
      </w:r>
      <w:r>
        <w:rPr>
          <w:b/>
          <w:color w:val="000000"/>
          <w:sz w:val="24"/>
        </w:rPr>
        <w:t xml:space="preserve">  </w:t>
      </w:r>
      <w:r>
        <w:rPr>
          <w:rFonts w:hAnsi="宋体"/>
          <w:b/>
          <w:color w:val="000000"/>
          <w:sz w:val="24"/>
        </w:rPr>
        <w:t>地下水环境敏感程度分级表</w:t>
      </w:r>
    </w:p>
    <w:tbl>
      <w:tblPr>
        <w:tblStyle w:val="32"/>
        <w:tblW w:w="5000" w:type="pct"/>
        <w:jc w:val="center"/>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11"/>
        <w:gridCol w:w="7975"/>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pct"/>
            <w:vAlign w:val="center"/>
          </w:tcPr>
          <w:p>
            <w:pPr>
              <w:pStyle w:val="17"/>
              <w:rPr>
                <w:b/>
                <w:bCs/>
                <w:color w:val="000000"/>
                <w:sz w:val="21"/>
                <w:szCs w:val="21"/>
              </w:rPr>
            </w:pPr>
            <w:r>
              <w:rPr>
                <w:b/>
                <w:bCs/>
                <w:color w:val="000000"/>
                <w:sz w:val="21"/>
                <w:szCs w:val="21"/>
              </w:rPr>
              <w:t>敏感程度</w:t>
            </w:r>
          </w:p>
        </w:tc>
        <w:tc>
          <w:tcPr>
            <w:tcW w:w="4294" w:type="pct"/>
            <w:vAlign w:val="center"/>
          </w:tcPr>
          <w:p>
            <w:pPr>
              <w:pStyle w:val="17"/>
              <w:rPr>
                <w:b/>
                <w:bCs/>
                <w:color w:val="000000"/>
                <w:sz w:val="21"/>
                <w:szCs w:val="21"/>
              </w:rPr>
            </w:pPr>
            <w:r>
              <w:rPr>
                <w:b/>
                <w:bCs/>
                <w:color w:val="000000"/>
                <w:sz w:val="21"/>
                <w:szCs w:val="21"/>
              </w:rPr>
              <w:t>类别</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pct"/>
            <w:vAlign w:val="center"/>
          </w:tcPr>
          <w:p>
            <w:pPr>
              <w:pStyle w:val="17"/>
              <w:rPr>
                <w:bCs/>
                <w:color w:val="000000"/>
                <w:sz w:val="21"/>
                <w:szCs w:val="21"/>
              </w:rPr>
            </w:pPr>
            <w:r>
              <w:rPr>
                <w:bCs/>
                <w:color w:val="000000"/>
                <w:sz w:val="21"/>
                <w:szCs w:val="21"/>
              </w:rPr>
              <w:t>敏感</w:t>
            </w:r>
          </w:p>
        </w:tc>
        <w:tc>
          <w:tcPr>
            <w:tcW w:w="4294" w:type="pct"/>
            <w:vAlign w:val="center"/>
          </w:tcPr>
          <w:p>
            <w:pPr>
              <w:pStyle w:val="17"/>
              <w:rPr>
                <w:bCs/>
                <w:color w:val="000000"/>
                <w:sz w:val="21"/>
                <w:szCs w:val="21"/>
              </w:rPr>
            </w:pPr>
            <w:r>
              <w:rPr>
                <w:bCs/>
                <w:color w:val="000000"/>
                <w:sz w:val="21"/>
                <w:szCs w:val="21"/>
              </w:rPr>
              <w:t>集中式饮用水水源（包括已建成的在用、备用、应急水源，在建和规划的饮用水水源）准保护区；除集中式饮用水水源以外的国家或地方政府设定的与地下水环境相关的其他保护区，如热水、矿泉水、温泉等特殊地下水资源保护区。</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pct"/>
            <w:vAlign w:val="center"/>
          </w:tcPr>
          <w:p>
            <w:pPr>
              <w:pStyle w:val="17"/>
              <w:rPr>
                <w:bCs/>
                <w:color w:val="000000"/>
                <w:sz w:val="21"/>
                <w:szCs w:val="21"/>
              </w:rPr>
            </w:pPr>
            <w:r>
              <w:rPr>
                <w:bCs/>
                <w:color w:val="000000"/>
                <w:sz w:val="21"/>
                <w:szCs w:val="21"/>
              </w:rPr>
              <w:t>较敏感</w:t>
            </w:r>
          </w:p>
        </w:tc>
        <w:tc>
          <w:tcPr>
            <w:tcW w:w="4294" w:type="pct"/>
            <w:vAlign w:val="center"/>
          </w:tcPr>
          <w:p>
            <w:pPr>
              <w:pStyle w:val="17"/>
              <w:rPr>
                <w:bCs/>
                <w:color w:val="000000"/>
                <w:sz w:val="21"/>
                <w:szCs w:val="21"/>
              </w:rPr>
            </w:pPr>
            <w:r>
              <w:rPr>
                <w:bCs/>
                <w:color w:val="000000"/>
                <w:sz w:val="21"/>
                <w:szCs w:val="21"/>
              </w:rPr>
              <w:t>集中式饮用水水源（包括已建成的在用、备用、应急水源，在建和规划的饮用水水源）准保护区以外的补给径流区；未划定准保护区的集中式饮用水水源，其保护区以外的补给径流区；分散式饮用水水源地；特殊地下水资源（如矿泉水、温泉等）保护区以外的分布区等其他未列入上述敏感分级的敏感保护区。</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pct"/>
            <w:vAlign w:val="center"/>
          </w:tcPr>
          <w:p>
            <w:pPr>
              <w:pStyle w:val="17"/>
              <w:rPr>
                <w:bCs/>
                <w:color w:val="000000"/>
                <w:sz w:val="21"/>
                <w:szCs w:val="21"/>
              </w:rPr>
            </w:pPr>
            <w:r>
              <w:rPr>
                <w:bCs/>
                <w:color w:val="000000"/>
                <w:sz w:val="21"/>
                <w:szCs w:val="21"/>
              </w:rPr>
              <w:t>不敏感</w:t>
            </w:r>
          </w:p>
        </w:tc>
        <w:tc>
          <w:tcPr>
            <w:tcW w:w="4294" w:type="pct"/>
            <w:vAlign w:val="center"/>
          </w:tcPr>
          <w:p>
            <w:pPr>
              <w:pStyle w:val="17"/>
              <w:rPr>
                <w:bCs/>
                <w:color w:val="000000"/>
                <w:sz w:val="21"/>
                <w:szCs w:val="21"/>
              </w:rPr>
            </w:pPr>
            <w:r>
              <w:rPr>
                <w:bCs/>
                <w:color w:val="000000"/>
                <w:sz w:val="21"/>
                <w:szCs w:val="21"/>
              </w:rPr>
              <w:t>上述地区之外的其他地区。</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2"/>
            <w:vAlign w:val="center"/>
          </w:tcPr>
          <w:p>
            <w:pPr>
              <w:pStyle w:val="17"/>
              <w:rPr>
                <w:bCs/>
                <w:color w:val="000000"/>
                <w:sz w:val="21"/>
                <w:szCs w:val="21"/>
              </w:rPr>
            </w:pPr>
            <w:r>
              <w:rPr>
                <w:bCs/>
                <w:color w:val="000000"/>
                <w:sz w:val="21"/>
                <w:szCs w:val="21"/>
              </w:rPr>
              <w:t>注：“环境敏感区”是指《建设项目环境影响评价分类管理名录》中所界定的涉及地下水的环境敏感区。</w:t>
            </w:r>
          </w:p>
        </w:tc>
      </w:tr>
    </w:tbl>
    <w:p>
      <w:pPr>
        <w:spacing w:line="480" w:lineRule="exact"/>
        <w:ind w:firstLine="480" w:firstLineChars="200"/>
        <w:rPr>
          <w:color w:val="000000"/>
          <w:sz w:val="24"/>
        </w:rPr>
      </w:pPr>
      <w:r>
        <w:rPr>
          <w:rFonts w:hint="eastAsia"/>
          <w:color w:val="000000"/>
          <w:sz w:val="24"/>
        </w:rPr>
        <w:t>本项目区范围内无水源地分布，主要为上游企业自备水井、下游企业自备水井、后石湖村水井，因此，地下水环境敏感程度为较敏感。</w:t>
      </w:r>
    </w:p>
    <w:p>
      <w:pPr>
        <w:spacing w:line="480" w:lineRule="exact"/>
        <w:ind w:firstLine="480" w:firstLineChars="200"/>
        <w:rPr>
          <w:color w:val="000000"/>
          <w:sz w:val="24"/>
          <w:szCs w:val="21"/>
        </w:rPr>
      </w:pPr>
      <w:r>
        <w:rPr>
          <w:color w:val="000000"/>
          <w:sz w:val="24"/>
        </w:rPr>
        <w:t>根据以上分析，对照《环境影响评价技术导则·地下水环境》（HJ610-2011），</w:t>
      </w:r>
      <w:r>
        <w:rPr>
          <w:rFonts w:hint="eastAsia"/>
          <w:color w:val="000000"/>
          <w:sz w:val="24"/>
          <w:szCs w:val="21"/>
        </w:rPr>
        <w:t>本项目对地下水环境影响进行三级评价。</w:t>
      </w:r>
    </w:p>
    <w:p>
      <w:pPr>
        <w:spacing w:line="480" w:lineRule="exact"/>
        <w:ind w:firstLine="482"/>
        <w:rPr>
          <w:color w:val="000000"/>
          <w:sz w:val="24"/>
          <w:szCs w:val="21"/>
        </w:rPr>
      </w:pPr>
      <w:r>
        <w:rPr>
          <w:color w:val="000000"/>
          <w:sz w:val="24"/>
          <w:szCs w:val="21"/>
        </w:rPr>
        <w:t>地下水评价进行等级划分具体见表</w:t>
      </w:r>
      <w:r>
        <w:rPr>
          <w:rFonts w:hint="eastAsia"/>
          <w:color w:val="000000"/>
          <w:sz w:val="24"/>
          <w:szCs w:val="21"/>
        </w:rPr>
        <w:t>1</w:t>
      </w:r>
      <w:r>
        <w:rPr>
          <w:color w:val="000000"/>
          <w:sz w:val="24"/>
          <w:szCs w:val="21"/>
        </w:rPr>
        <w:t>-</w:t>
      </w:r>
      <w:r>
        <w:rPr>
          <w:rFonts w:hint="eastAsia"/>
          <w:color w:val="000000"/>
          <w:sz w:val="24"/>
          <w:szCs w:val="21"/>
        </w:rPr>
        <w:t>2</w:t>
      </w:r>
      <w:r>
        <w:rPr>
          <w:color w:val="000000"/>
          <w:sz w:val="24"/>
          <w:szCs w:val="21"/>
        </w:rPr>
        <w:t>。</w:t>
      </w:r>
    </w:p>
    <w:p>
      <w:pPr>
        <w:adjustRightInd w:val="0"/>
        <w:snapToGrid w:val="0"/>
        <w:spacing w:line="480" w:lineRule="exact"/>
        <w:ind w:firstLine="482" w:firstLineChars="200"/>
        <w:jc w:val="center"/>
        <w:rPr>
          <w:b/>
          <w:color w:val="000000"/>
          <w:sz w:val="24"/>
        </w:rPr>
      </w:pPr>
      <w:r>
        <w:rPr>
          <w:rFonts w:hint="eastAsia" w:ascii="宋体" w:hAnsi="宋体" w:cs="宋体"/>
          <w:b/>
          <w:bCs/>
          <w:color w:val="000000"/>
          <w:sz w:val="24"/>
          <w:szCs w:val="28"/>
        </w:rPr>
        <w:t xml:space="preserve">表1-2   </w:t>
      </w:r>
      <w:r>
        <w:rPr>
          <w:rFonts w:ascii="宋体" w:hAnsi="宋体" w:cs="宋体"/>
          <w:b/>
          <w:bCs/>
          <w:color w:val="000000"/>
          <w:sz w:val="24"/>
          <w:szCs w:val="28"/>
        </w:rPr>
        <w:t>地下水</w:t>
      </w:r>
      <w:r>
        <w:rPr>
          <w:b/>
          <w:color w:val="000000"/>
          <w:sz w:val="24"/>
        </w:rPr>
        <w:t>评价工作等级</w:t>
      </w:r>
      <w:r>
        <w:rPr>
          <w:rFonts w:hint="eastAsia"/>
          <w:b/>
          <w:color w:val="000000"/>
          <w:sz w:val="24"/>
        </w:rPr>
        <w:t>划分表</w:t>
      </w:r>
    </w:p>
    <w:tbl>
      <w:tblPr>
        <w:tblStyle w:val="32"/>
        <w:tblW w:w="5000" w:type="pct"/>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4"/>
        <w:gridCol w:w="2113"/>
        <w:gridCol w:w="2680"/>
        <w:gridCol w:w="198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348" w:type="pct"/>
            <w:vAlign w:val="center"/>
          </w:tcPr>
          <w:p>
            <w:pPr>
              <w:adjustRightInd w:val="0"/>
              <w:snapToGrid w:val="0"/>
              <w:jc w:val="center"/>
              <w:rPr>
                <w:color w:val="000000"/>
                <w:kern w:val="0"/>
                <w:szCs w:val="21"/>
              </w:rPr>
            </w:pPr>
            <w:r>
              <w:rPr>
                <w:rFonts w:hint="eastAsia"/>
                <w:color w:val="000000"/>
                <w:kern w:val="0"/>
                <w:szCs w:val="21"/>
              </w:rPr>
              <w:t>项目类别</w:t>
            </w:r>
          </w:p>
          <w:p>
            <w:pPr>
              <w:adjustRightInd w:val="0"/>
              <w:snapToGrid w:val="0"/>
              <w:jc w:val="center"/>
              <w:rPr>
                <w:color w:val="000000"/>
                <w:kern w:val="0"/>
                <w:szCs w:val="21"/>
              </w:rPr>
            </w:pPr>
            <w:r>
              <w:rPr>
                <w:rFonts w:hint="eastAsia"/>
                <w:color w:val="000000"/>
                <w:kern w:val="0"/>
                <w:szCs w:val="21"/>
              </w:rPr>
              <w:t>环境敏感程度</w:t>
            </w:r>
          </w:p>
        </w:tc>
        <w:tc>
          <w:tcPr>
            <w:tcW w:w="1138" w:type="pct"/>
            <w:vAlign w:val="center"/>
          </w:tcPr>
          <w:p>
            <w:pPr>
              <w:adjustRightInd w:val="0"/>
              <w:snapToGrid w:val="0"/>
              <w:jc w:val="center"/>
              <w:rPr>
                <w:color w:val="000000"/>
                <w:kern w:val="0"/>
                <w:szCs w:val="21"/>
              </w:rPr>
            </w:pPr>
            <w:r>
              <w:rPr>
                <w:rFonts w:hint="eastAsia"/>
                <w:color w:val="000000"/>
                <w:kern w:val="0"/>
                <w:szCs w:val="21"/>
              </w:rPr>
              <w:t>I类项目</w:t>
            </w:r>
          </w:p>
        </w:tc>
        <w:tc>
          <w:tcPr>
            <w:tcW w:w="1443" w:type="pct"/>
            <w:vAlign w:val="center"/>
          </w:tcPr>
          <w:p>
            <w:pPr>
              <w:adjustRightInd w:val="0"/>
              <w:snapToGrid w:val="0"/>
              <w:jc w:val="center"/>
              <w:rPr>
                <w:color w:val="000000"/>
                <w:kern w:val="0"/>
                <w:szCs w:val="21"/>
              </w:rPr>
            </w:pPr>
            <w:r>
              <w:rPr>
                <w:rFonts w:hint="eastAsia"/>
                <w:color w:val="000000"/>
                <w:kern w:val="0"/>
                <w:szCs w:val="21"/>
              </w:rPr>
              <w:t>II类项目</w:t>
            </w:r>
          </w:p>
        </w:tc>
        <w:tc>
          <w:tcPr>
            <w:tcW w:w="1071" w:type="pct"/>
            <w:vAlign w:val="center"/>
          </w:tcPr>
          <w:p>
            <w:pPr>
              <w:adjustRightInd w:val="0"/>
              <w:snapToGrid w:val="0"/>
              <w:jc w:val="center"/>
              <w:rPr>
                <w:color w:val="000000"/>
                <w:kern w:val="0"/>
                <w:szCs w:val="21"/>
              </w:rPr>
            </w:pPr>
            <w:r>
              <w:rPr>
                <w:rFonts w:hint="eastAsia"/>
                <w:color w:val="000000"/>
                <w:kern w:val="0"/>
                <w:szCs w:val="21"/>
              </w:rPr>
              <w:t>III类项目</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48" w:type="pct"/>
            <w:vAlign w:val="center"/>
          </w:tcPr>
          <w:p>
            <w:pPr>
              <w:adjustRightInd w:val="0"/>
              <w:snapToGrid w:val="0"/>
              <w:jc w:val="center"/>
              <w:rPr>
                <w:color w:val="000000"/>
                <w:kern w:val="0"/>
                <w:szCs w:val="21"/>
              </w:rPr>
            </w:pPr>
            <w:r>
              <w:rPr>
                <w:rFonts w:hint="eastAsia"/>
                <w:color w:val="000000"/>
                <w:kern w:val="0"/>
                <w:szCs w:val="21"/>
              </w:rPr>
              <w:t>敏感</w:t>
            </w:r>
          </w:p>
        </w:tc>
        <w:tc>
          <w:tcPr>
            <w:tcW w:w="1138" w:type="pct"/>
            <w:vAlign w:val="center"/>
          </w:tcPr>
          <w:p>
            <w:pPr>
              <w:adjustRightInd w:val="0"/>
              <w:snapToGrid w:val="0"/>
              <w:jc w:val="center"/>
              <w:rPr>
                <w:color w:val="000000"/>
                <w:kern w:val="0"/>
                <w:szCs w:val="21"/>
              </w:rPr>
            </w:pPr>
            <w:r>
              <w:rPr>
                <w:color w:val="000000"/>
                <w:kern w:val="0"/>
                <w:szCs w:val="21"/>
              </w:rPr>
              <w:t>一级</w:t>
            </w:r>
          </w:p>
        </w:tc>
        <w:tc>
          <w:tcPr>
            <w:tcW w:w="1443" w:type="pct"/>
            <w:vAlign w:val="center"/>
          </w:tcPr>
          <w:p>
            <w:pPr>
              <w:adjustRightInd w:val="0"/>
              <w:snapToGrid w:val="0"/>
              <w:jc w:val="center"/>
              <w:rPr>
                <w:color w:val="000000"/>
                <w:kern w:val="0"/>
                <w:szCs w:val="21"/>
              </w:rPr>
            </w:pPr>
            <w:r>
              <w:rPr>
                <w:color w:val="000000"/>
                <w:kern w:val="0"/>
                <w:szCs w:val="21"/>
              </w:rPr>
              <w:t>一级</w:t>
            </w:r>
          </w:p>
        </w:tc>
        <w:tc>
          <w:tcPr>
            <w:tcW w:w="1071" w:type="pct"/>
            <w:vAlign w:val="center"/>
          </w:tcPr>
          <w:p>
            <w:pPr>
              <w:adjustRightInd w:val="0"/>
              <w:snapToGrid w:val="0"/>
              <w:jc w:val="center"/>
              <w:rPr>
                <w:color w:val="000000"/>
                <w:kern w:val="0"/>
                <w:szCs w:val="21"/>
              </w:rPr>
            </w:pPr>
            <w:r>
              <w:rPr>
                <w:rFonts w:hint="eastAsia"/>
                <w:color w:val="000000"/>
                <w:kern w:val="0"/>
                <w:szCs w:val="21"/>
              </w:rPr>
              <w:t>二</w:t>
            </w:r>
            <w:r>
              <w:rPr>
                <w:color w:val="000000"/>
                <w:kern w:val="0"/>
                <w:szCs w:val="21"/>
              </w:rPr>
              <w:t>级</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48" w:type="pct"/>
            <w:vAlign w:val="center"/>
          </w:tcPr>
          <w:p>
            <w:pPr>
              <w:adjustRightInd w:val="0"/>
              <w:snapToGrid w:val="0"/>
              <w:jc w:val="center"/>
              <w:rPr>
                <w:color w:val="000000"/>
                <w:kern w:val="0"/>
                <w:szCs w:val="21"/>
              </w:rPr>
            </w:pPr>
            <w:r>
              <w:rPr>
                <w:rFonts w:hint="eastAsia"/>
                <w:color w:val="000000"/>
                <w:kern w:val="0"/>
                <w:szCs w:val="21"/>
              </w:rPr>
              <w:t>较敏感</w:t>
            </w:r>
          </w:p>
        </w:tc>
        <w:tc>
          <w:tcPr>
            <w:tcW w:w="1138" w:type="pct"/>
            <w:vAlign w:val="center"/>
          </w:tcPr>
          <w:p>
            <w:pPr>
              <w:adjustRightInd w:val="0"/>
              <w:snapToGrid w:val="0"/>
              <w:jc w:val="center"/>
              <w:rPr>
                <w:color w:val="000000"/>
                <w:kern w:val="0"/>
                <w:szCs w:val="21"/>
              </w:rPr>
            </w:pPr>
            <w:r>
              <w:rPr>
                <w:color w:val="000000"/>
                <w:kern w:val="0"/>
                <w:szCs w:val="21"/>
              </w:rPr>
              <w:t>一级</w:t>
            </w:r>
          </w:p>
        </w:tc>
        <w:tc>
          <w:tcPr>
            <w:tcW w:w="1443" w:type="pct"/>
            <w:vAlign w:val="center"/>
          </w:tcPr>
          <w:p>
            <w:pPr>
              <w:adjustRightInd w:val="0"/>
              <w:snapToGrid w:val="0"/>
              <w:jc w:val="center"/>
              <w:rPr>
                <w:color w:val="000000"/>
                <w:kern w:val="0"/>
                <w:szCs w:val="21"/>
              </w:rPr>
            </w:pPr>
            <w:r>
              <w:rPr>
                <w:color w:val="000000"/>
                <w:kern w:val="0"/>
                <w:szCs w:val="21"/>
              </w:rPr>
              <w:t>二级</w:t>
            </w:r>
          </w:p>
        </w:tc>
        <w:tc>
          <w:tcPr>
            <w:tcW w:w="1071" w:type="pct"/>
            <w:vAlign w:val="center"/>
          </w:tcPr>
          <w:p>
            <w:pPr>
              <w:adjustRightInd w:val="0"/>
              <w:snapToGrid w:val="0"/>
              <w:jc w:val="center"/>
              <w:rPr>
                <w:color w:val="000000"/>
                <w:kern w:val="0"/>
                <w:szCs w:val="21"/>
              </w:rPr>
            </w:pPr>
            <w:r>
              <w:rPr>
                <w:color w:val="000000"/>
                <w:kern w:val="0"/>
                <w:szCs w:val="21"/>
              </w:rPr>
              <w:t>三级</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48" w:type="pct"/>
            <w:vAlign w:val="center"/>
          </w:tcPr>
          <w:p>
            <w:pPr>
              <w:adjustRightInd w:val="0"/>
              <w:snapToGrid w:val="0"/>
              <w:jc w:val="center"/>
              <w:rPr>
                <w:color w:val="000000"/>
                <w:kern w:val="0"/>
                <w:szCs w:val="21"/>
              </w:rPr>
            </w:pPr>
            <w:r>
              <w:rPr>
                <w:rFonts w:hint="eastAsia"/>
                <w:color w:val="000000"/>
                <w:kern w:val="0"/>
                <w:szCs w:val="21"/>
              </w:rPr>
              <w:t>不敏感</w:t>
            </w:r>
          </w:p>
        </w:tc>
        <w:tc>
          <w:tcPr>
            <w:tcW w:w="1138" w:type="pct"/>
            <w:vAlign w:val="center"/>
          </w:tcPr>
          <w:p>
            <w:pPr>
              <w:adjustRightInd w:val="0"/>
              <w:snapToGrid w:val="0"/>
              <w:jc w:val="center"/>
              <w:rPr>
                <w:color w:val="000000"/>
                <w:kern w:val="0"/>
                <w:szCs w:val="21"/>
              </w:rPr>
            </w:pPr>
            <w:r>
              <w:rPr>
                <w:color w:val="000000"/>
                <w:kern w:val="0"/>
                <w:szCs w:val="21"/>
              </w:rPr>
              <w:t>二级</w:t>
            </w:r>
          </w:p>
        </w:tc>
        <w:tc>
          <w:tcPr>
            <w:tcW w:w="1443" w:type="pct"/>
            <w:vAlign w:val="center"/>
          </w:tcPr>
          <w:p>
            <w:pPr>
              <w:adjustRightInd w:val="0"/>
              <w:snapToGrid w:val="0"/>
              <w:jc w:val="center"/>
              <w:rPr>
                <w:color w:val="000000"/>
                <w:kern w:val="0"/>
                <w:szCs w:val="21"/>
              </w:rPr>
            </w:pPr>
            <w:r>
              <w:rPr>
                <w:color w:val="000000"/>
                <w:kern w:val="0"/>
                <w:szCs w:val="21"/>
              </w:rPr>
              <w:t>三级</w:t>
            </w:r>
          </w:p>
        </w:tc>
        <w:tc>
          <w:tcPr>
            <w:tcW w:w="1071" w:type="pct"/>
            <w:vAlign w:val="center"/>
          </w:tcPr>
          <w:p>
            <w:pPr>
              <w:adjustRightInd w:val="0"/>
              <w:snapToGrid w:val="0"/>
              <w:jc w:val="center"/>
              <w:rPr>
                <w:color w:val="000000"/>
                <w:kern w:val="0"/>
                <w:szCs w:val="21"/>
              </w:rPr>
            </w:pPr>
            <w:r>
              <w:rPr>
                <w:color w:val="000000"/>
                <w:kern w:val="0"/>
                <w:szCs w:val="21"/>
              </w:rPr>
              <w:t>三级</w:t>
            </w:r>
          </w:p>
        </w:tc>
      </w:tr>
    </w:tbl>
    <w:p>
      <w:pPr>
        <w:spacing w:line="480" w:lineRule="exact"/>
        <w:outlineLvl w:val="3"/>
        <w:rPr>
          <w:rFonts w:eastAsia="黑体"/>
          <w:color w:val="000000"/>
          <w:sz w:val="24"/>
          <w:szCs w:val="21"/>
        </w:rPr>
      </w:pPr>
      <w:r>
        <w:rPr>
          <w:rFonts w:hint="eastAsia" w:eastAsia="黑体"/>
          <w:color w:val="000000"/>
          <w:sz w:val="24"/>
          <w:szCs w:val="21"/>
        </w:rPr>
        <w:t>2.1</w:t>
      </w:r>
      <w:r>
        <w:rPr>
          <w:rFonts w:eastAsia="黑体"/>
          <w:color w:val="000000"/>
          <w:sz w:val="24"/>
          <w:szCs w:val="21"/>
        </w:rPr>
        <w:t>.</w:t>
      </w:r>
      <w:r>
        <w:rPr>
          <w:rFonts w:hint="eastAsia" w:eastAsia="黑体"/>
          <w:color w:val="000000"/>
          <w:sz w:val="24"/>
          <w:szCs w:val="21"/>
        </w:rPr>
        <w:t>2评价范围划分</w:t>
      </w:r>
    </w:p>
    <w:p>
      <w:pPr>
        <w:spacing w:line="480" w:lineRule="exact"/>
        <w:ind w:firstLine="482"/>
        <w:rPr>
          <w:color w:val="000000"/>
        </w:rPr>
      </w:pPr>
      <w:r>
        <w:rPr>
          <w:rFonts w:hint="eastAsia"/>
          <w:color w:val="000000"/>
          <w:sz w:val="24"/>
          <w:szCs w:val="21"/>
        </w:rPr>
        <w:t>根据厂区所在区域地下水流向，地下水评价范围</w:t>
      </w:r>
      <w:r>
        <w:rPr>
          <w:rFonts w:hint="eastAsia"/>
          <w:color w:val="000000"/>
          <w:sz w:val="24"/>
          <w:szCs w:val="21"/>
          <w:lang w:eastAsia="zh-CN"/>
        </w:rPr>
        <w:t>约为</w:t>
      </w:r>
      <w:r>
        <w:rPr>
          <w:rFonts w:hint="eastAsia"/>
          <w:color w:val="000000"/>
          <w:sz w:val="24"/>
          <w:szCs w:val="21"/>
          <w:lang w:val="en-US" w:eastAsia="zh-CN"/>
        </w:rPr>
        <w:t>6</w:t>
      </w:r>
      <w:r>
        <w:rPr>
          <w:rFonts w:hint="eastAsia"/>
          <w:color w:val="000000"/>
          <w:sz w:val="24"/>
          <w:szCs w:val="21"/>
        </w:rPr>
        <w:t>km</w:t>
      </w:r>
      <w:r>
        <w:rPr>
          <w:rFonts w:hint="eastAsia"/>
          <w:color w:val="000000"/>
          <w:sz w:val="24"/>
          <w:szCs w:val="21"/>
          <w:vertAlign w:val="superscript"/>
        </w:rPr>
        <w:t>2</w:t>
      </w:r>
      <w:r>
        <w:rPr>
          <w:rFonts w:hint="eastAsia"/>
          <w:color w:val="000000"/>
          <w:sz w:val="24"/>
          <w:szCs w:val="21"/>
        </w:rPr>
        <w:t>。见附图1。</w:t>
      </w:r>
      <w:r>
        <w:rPr>
          <w:sz w:val="24"/>
        </w:rPr>
        <mc:AlternateContent>
          <mc:Choice Requires="wps">
            <w:drawing>
              <wp:anchor distT="0" distB="0" distL="114300" distR="114300" simplePos="0" relativeHeight="251667456" behindDoc="0" locked="0" layoutInCell="1" allowOverlap="1">
                <wp:simplePos x="0" y="0"/>
                <wp:positionH relativeFrom="column">
                  <wp:posOffset>6905625</wp:posOffset>
                </wp:positionH>
                <wp:positionV relativeFrom="paragraph">
                  <wp:posOffset>1366520</wp:posOffset>
                </wp:positionV>
                <wp:extent cx="90805" cy="90805"/>
                <wp:effectExtent l="4445" t="4445" r="19050" b="19050"/>
                <wp:wrapNone/>
                <wp:docPr id="64" name="椭圆 64"/>
                <wp:cNvGraphicFramePr/>
                <a:graphic xmlns:a="http://schemas.openxmlformats.org/drawingml/2006/main">
                  <a:graphicData uri="http://schemas.microsoft.com/office/word/2010/wordprocessingShape">
                    <wps:wsp>
                      <wps:cNvSpPr/>
                      <wps:spPr>
                        <a:xfrm>
                          <a:off x="0" y="0"/>
                          <a:ext cx="90805" cy="90805"/>
                        </a:xfrm>
                        <a:prstGeom prst="ellipse">
                          <a:avLst/>
                        </a:prstGeom>
                        <a:solidFill>
                          <a:srgbClr val="0070C0"/>
                        </a:solidFill>
                        <a:ln w="9525" cap="flat" cmpd="sng">
                          <a:solidFill>
                            <a:srgbClr val="0070C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543.75pt;margin-top:107.6pt;height:7.15pt;width:7.15pt;z-index:251667456;mso-width-relative:page;mso-height-relative:page;" fillcolor="#0070C0" filled="t" stroked="t" coordsize="21600,21600" o:gfxdata="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Bn8a2QAAAA0BAAAPAAAAAAAAAAEAIAAAACIAAABkcnMvZG93bnJldi54bWxQ&#10;SwECFAAUAAAACACHTuJAvJvxnvYBAAAhBAAADgAAAAAAAAABACAAAAAoAQAAZHJzL2Uyb0RvYy54&#10;bWxQSwUGAAAAAAYABgBZAQAAkAUAAAAA&#10;">
                <v:fill on="t" focussize="0,0"/>
                <v:stroke color="#0070C0" joinstyle="round"/>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7113270</wp:posOffset>
                </wp:positionH>
                <wp:positionV relativeFrom="paragraph">
                  <wp:posOffset>4587875</wp:posOffset>
                </wp:positionV>
                <wp:extent cx="144145" cy="107950"/>
                <wp:effectExtent l="10795" t="0" r="16510" b="13970"/>
                <wp:wrapNone/>
                <wp:docPr id="44" name="矩形 44"/>
                <wp:cNvGraphicFramePr/>
                <a:graphic xmlns:a="http://schemas.openxmlformats.org/drawingml/2006/main">
                  <a:graphicData uri="http://schemas.microsoft.com/office/word/2010/wordprocessingShape">
                    <wps:wsp>
                      <wps:cNvSpPr/>
                      <wps:spPr>
                        <a:xfrm>
                          <a:off x="7905115" y="5596255"/>
                          <a:ext cx="144145" cy="107950"/>
                        </a:xfrm>
                        <a:prstGeom prst="rect">
                          <a:avLst/>
                        </a:prstGeom>
                        <a:solidFill>
                          <a:srgbClr val="FFFFFF"/>
                        </a:solidFill>
                        <a:ln w="22225"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560.1pt;margin-top:361.25pt;height:8.5pt;width:11.35pt;z-index:251666432;mso-width-relative:page;mso-height-relative:page;" fillcolor="#FFFFFF" filled="t" stroked="t" coordsize="21600,21600" o:gfxdata="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WV/BdgAAAANAQAADwAAAAAAAAAB&#10;ACAAAAAiAAAAZHJzL2Rvd25yZXYueG1sUEsBAhQAFAAAAAgAh07iQPpANP0QAgAANwQAAA4AAAAA&#10;AAAAAQAgAAAAJwEAAGRycy9lMm9Eb2MueG1sUEsFBgAAAAAGAAYAWQEAAKkFAAAAAA==&#10;">
                <v:fill on="t" focussize="0,0"/>
                <v:stroke weight="1.75pt" color="#FF0000" joinstyle="miter"/>
                <v:imagedata o:title=""/>
                <o:lock v:ext="edit" aspectratio="f"/>
                <v:textbox>
                  <w:txbxContent>
                    <w:p>
                      <w:pPr>
                        <w:jc w:val="center"/>
                      </w:pPr>
                    </w:p>
                  </w:txbxContent>
                </v:textbox>
              </v:rect>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7134225</wp:posOffset>
                </wp:positionH>
                <wp:positionV relativeFrom="paragraph">
                  <wp:posOffset>4795520</wp:posOffset>
                </wp:positionV>
                <wp:extent cx="90805" cy="90805"/>
                <wp:effectExtent l="4445" t="4445" r="19050" b="19050"/>
                <wp:wrapNone/>
                <wp:docPr id="45" name="椭圆 45"/>
                <wp:cNvGraphicFramePr/>
                <a:graphic xmlns:a="http://schemas.openxmlformats.org/drawingml/2006/main">
                  <a:graphicData uri="http://schemas.microsoft.com/office/word/2010/wordprocessingShape">
                    <wps:wsp>
                      <wps:cNvSpPr/>
                      <wps:spPr>
                        <a:xfrm>
                          <a:off x="7926070" y="5803900"/>
                          <a:ext cx="90805" cy="90805"/>
                        </a:xfrm>
                        <a:prstGeom prst="ellipse">
                          <a:avLst/>
                        </a:prstGeom>
                        <a:solidFill>
                          <a:srgbClr val="0070C0"/>
                        </a:solidFill>
                        <a:ln w="9525" cap="flat" cmpd="sng">
                          <a:solidFill>
                            <a:srgbClr val="0070C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561.75pt;margin-top:377.6pt;height:7.15pt;width:7.15pt;z-index:251665408;mso-width-relative:page;mso-height-relative:page;" fillcolor="#0070C0" filled="t" stroked="t" coordsize="21600,21600" o:gfxdata="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wI1rtoAAAANAQAADwAAAAAAAAABACAAAAAiAAAAZHJz&#10;L2Rvd25yZXYueG1sUEsBAhQAFAAAAAgAh07iQKWDZ+sCAgAALQQAAA4AAAAAAAAAAQAgAAAAKQEA&#10;AGRycy9lMm9Eb2MueG1sUEsFBgAAAAAGAAYAWQEAAJ0FAAAAAA==&#10;">
                <v:fill on="t" focussize="0,0"/>
                <v:stroke color="#0070C0" joinstyle="round"/>
                <v:imagedata o:title=""/>
                <o:lock v:ext="edit" aspectratio="f"/>
                <v:textbox>
                  <w:txbxContent>
                    <w:p/>
                  </w:txbxContent>
                </v:textbox>
              </v:shape>
            </w:pict>
          </mc:Fallback>
        </mc:AlternateContent>
      </w:r>
      <w:r>
        <w:rPr>
          <w:b/>
          <w:color w:val="000000"/>
          <w:sz w:val="24"/>
        </w:rPr>
        <mc:AlternateContent>
          <mc:Choice Requires="wps">
            <w:drawing>
              <wp:anchor distT="0" distB="0" distL="114300" distR="114300" simplePos="0" relativeHeight="251664384" behindDoc="0" locked="0" layoutInCell="1" allowOverlap="1">
                <wp:simplePos x="0" y="0"/>
                <wp:positionH relativeFrom="column">
                  <wp:posOffset>6927215</wp:posOffset>
                </wp:positionH>
                <wp:positionV relativeFrom="paragraph">
                  <wp:posOffset>4294505</wp:posOffset>
                </wp:positionV>
                <wp:extent cx="1774825" cy="805815"/>
                <wp:effectExtent l="4445" t="4445" r="11430" b="8890"/>
                <wp:wrapNone/>
                <wp:docPr id="53" name="文本框 53"/>
                <wp:cNvGraphicFramePr/>
                <a:graphic xmlns:a="http://schemas.openxmlformats.org/drawingml/2006/main">
                  <a:graphicData uri="http://schemas.microsoft.com/office/word/2010/wordprocessingShape">
                    <wps:wsp>
                      <wps:cNvSpPr txBox="1"/>
                      <wps:spPr>
                        <a:xfrm>
                          <a:off x="0" y="0"/>
                          <a:ext cx="1774825" cy="805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图例</w:t>
                            </w:r>
                          </w:p>
                          <w:p>
                            <w:pPr>
                              <w:ind w:right="420"/>
                              <w:jc w:val="right"/>
                            </w:pPr>
                            <w:r>
                              <w:rPr>
                                <w:rFonts w:hint="eastAsia"/>
                              </w:rPr>
                              <w:t>地下水评价范围</w:t>
                            </w:r>
                          </w:p>
                          <w:p>
                            <w:pPr>
                              <w:jc w:val="right"/>
                            </w:pPr>
                            <w:r>
                              <w:rPr>
                                <w:rFonts w:hint="eastAsia"/>
                              </w:rPr>
                              <w:t>地下水环境保护目标</w:t>
                            </w:r>
                          </w:p>
                        </w:txbxContent>
                      </wps:txbx>
                      <wps:bodyPr upright="1"/>
                    </wps:wsp>
                  </a:graphicData>
                </a:graphic>
              </wp:anchor>
            </w:drawing>
          </mc:Choice>
          <mc:Fallback>
            <w:pict>
              <v:shape id="_x0000_s1026" o:spid="_x0000_s1026" o:spt="202" type="#_x0000_t202" style="position:absolute;left:0pt;margin-left:545.45pt;margin-top:338.15pt;height:63.45pt;width:139.75pt;z-index:251664384;mso-width-relative:page;mso-height-relative:page;" fillcolor="#FFFFFF" filled="t" stroked="t" coordsize="21600,21600" o:gfxdata="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gK63NoAAAANAQAADwAAAAAAAAABACAA&#10;AAAiAAAAZHJzL2Rvd25yZXYueG1sUEsBAhQAFAAAAAgAh07iQEwjA1wLAgAAOAQAAA4AAAAAAAAA&#10;AQAgAAAAKQEAAGRycy9lMm9Eb2MueG1sUEsFBgAAAAAGAAYAWQEAAKYFAAAAAA==&#10;">
                <v:fill on="t" focussize="0,0"/>
                <v:stroke color="#000000" joinstyle="miter"/>
                <v:imagedata o:title=""/>
                <o:lock v:ext="edit" aspectratio="f"/>
                <v:textbox>
                  <w:txbxContent>
                    <w:p>
                      <w:pPr>
                        <w:jc w:val="center"/>
                      </w:pPr>
                      <w:r>
                        <w:rPr>
                          <w:rFonts w:hint="eastAsia"/>
                        </w:rPr>
                        <w:t>图例</w:t>
                      </w:r>
                    </w:p>
                    <w:p>
                      <w:pPr>
                        <w:ind w:right="420"/>
                        <w:jc w:val="right"/>
                      </w:pPr>
                      <w:r>
                        <w:rPr>
                          <w:rFonts w:hint="eastAsia"/>
                        </w:rPr>
                        <w:t>地下水评价范围</w:t>
                      </w:r>
                    </w:p>
                    <w:p>
                      <w:pPr>
                        <w:jc w:val="right"/>
                      </w:pPr>
                      <w:r>
                        <w:rPr>
                          <w:rFonts w:hint="eastAsia"/>
                        </w:rPr>
                        <w:t>地下水环境保护目标</w:t>
                      </w:r>
                    </w:p>
                  </w:txbxContent>
                </v:textbox>
              </v:shape>
            </w:pict>
          </mc:Fallback>
        </mc:AlternateContent>
      </w:r>
    </w:p>
    <w:p>
      <w:pPr>
        <w:rPr>
          <w:color w:val="000000"/>
        </w:rPr>
      </w:pPr>
    </w:p>
    <w:p>
      <w:pPr>
        <w:spacing w:line="480" w:lineRule="exact"/>
        <w:jc w:val="left"/>
        <w:textAlignment w:val="center"/>
        <w:outlineLvl w:val="2"/>
        <w:sectPr>
          <w:headerReference r:id="rId7" w:type="default"/>
          <w:footerReference r:id="rId8" w:type="default"/>
          <w:pgSz w:w="11906" w:h="16838"/>
          <w:pgMar w:top="1440" w:right="1418" w:bottom="1440" w:left="1418" w:header="851" w:footer="992" w:gutter="0"/>
          <w:cols w:space="720" w:num="1"/>
          <w:docGrid w:type="lines" w:linePitch="312" w:charSpace="0"/>
        </w:sectPr>
      </w:pPr>
    </w:p>
    <w:p>
      <w:pPr>
        <w:spacing w:line="480" w:lineRule="exact"/>
        <w:jc w:val="left"/>
        <w:textAlignment w:val="center"/>
        <w:outlineLvl w:val="2"/>
      </w:pPr>
    </w:p>
    <w:p>
      <w:pPr>
        <w:pStyle w:val="2"/>
      </w:pPr>
    </w:p>
    <w:p>
      <w:pPr>
        <w:spacing w:line="480" w:lineRule="exact"/>
        <w:jc w:val="left"/>
        <w:textAlignment w:val="center"/>
        <w:outlineLvl w:val="2"/>
        <w:sectPr>
          <w:pgSz w:w="11906" w:h="16838"/>
          <w:pgMar w:top="1440" w:right="1418" w:bottom="1440" w:left="1418" w:header="851" w:footer="992" w:gutter="0"/>
          <w:cols w:space="720" w:num="1"/>
          <w:docGrid w:type="lines" w:linePitch="312" w:charSpace="0"/>
        </w:sectPr>
      </w:pPr>
    </w:p>
    <w:p>
      <w:pPr>
        <w:spacing w:line="480" w:lineRule="exact"/>
        <w:jc w:val="left"/>
        <w:textAlignment w:val="center"/>
        <w:outlineLvl w:val="2"/>
        <w:rPr>
          <w:b/>
          <w:color w:val="000000"/>
          <w:spacing w:val="6"/>
          <w:sz w:val="30"/>
          <w:szCs w:val="30"/>
        </w:rPr>
      </w:pPr>
      <w:r>
        <w:rPr>
          <w:rFonts w:hint="eastAsia"/>
          <w:b/>
          <w:color w:val="000000"/>
          <w:spacing w:val="6"/>
          <w:sz w:val="30"/>
          <w:szCs w:val="30"/>
        </w:rPr>
        <w:t>1</w:t>
      </w:r>
      <w:r>
        <w:rPr>
          <w:b/>
          <w:color w:val="000000"/>
          <w:spacing w:val="6"/>
          <w:sz w:val="30"/>
          <w:szCs w:val="30"/>
        </w:rPr>
        <w:t>.</w:t>
      </w:r>
      <w:r>
        <w:rPr>
          <w:rFonts w:hint="eastAsia"/>
          <w:b/>
          <w:color w:val="000000"/>
          <w:spacing w:val="6"/>
          <w:sz w:val="30"/>
          <w:szCs w:val="30"/>
        </w:rPr>
        <w:t>2 地下</w:t>
      </w:r>
      <w:r>
        <w:rPr>
          <w:b/>
          <w:color w:val="000000"/>
          <w:spacing w:val="6"/>
          <w:sz w:val="30"/>
          <w:szCs w:val="30"/>
        </w:rPr>
        <w:t>水</w:t>
      </w:r>
      <w:r>
        <w:rPr>
          <w:rFonts w:hint="eastAsia"/>
          <w:b/>
          <w:color w:val="000000"/>
          <w:spacing w:val="6"/>
          <w:sz w:val="30"/>
          <w:szCs w:val="30"/>
        </w:rPr>
        <w:t>环境现状监测及评价</w:t>
      </w:r>
    </w:p>
    <w:p>
      <w:pPr>
        <w:spacing w:line="480" w:lineRule="exact"/>
        <w:outlineLvl w:val="3"/>
        <w:rPr>
          <w:rFonts w:eastAsia="黑体"/>
          <w:color w:val="000000"/>
          <w:sz w:val="24"/>
          <w:szCs w:val="21"/>
        </w:rPr>
      </w:pPr>
      <w:bookmarkStart w:id="17" w:name="_Toc227035808"/>
      <w:r>
        <w:rPr>
          <w:rFonts w:hint="eastAsia" w:eastAsia="黑体"/>
          <w:color w:val="000000"/>
          <w:sz w:val="24"/>
          <w:szCs w:val="21"/>
        </w:rPr>
        <w:t>1.2.1地下水保护目标及环境敏感点</w:t>
      </w:r>
    </w:p>
    <w:p>
      <w:pPr>
        <w:spacing w:line="480" w:lineRule="exact"/>
        <w:rPr>
          <w:rFonts w:hAnsi="黑体" w:eastAsia="黑体"/>
          <w:color w:val="000000"/>
          <w:sz w:val="24"/>
        </w:rPr>
      </w:pPr>
      <w:r>
        <w:rPr>
          <w:rFonts w:hint="eastAsia" w:hAnsi="黑体" w:eastAsia="黑体"/>
          <w:color w:val="000000"/>
          <w:sz w:val="24"/>
        </w:rPr>
        <w:t>（1）县城水源地</w:t>
      </w:r>
    </w:p>
    <w:p>
      <w:pPr>
        <w:snapToGrid w:val="0"/>
        <w:spacing w:line="480" w:lineRule="exact"/>
        <w:ind w:firstLine="480" w:firstLineChars="200"/>
        <w:rPr>
          <w:color w:val="000000"/>
          <w:sz w:val="24"/>
        </w:rPr>
      </w:pPr>
      <w:r>
        <w:rPr>
          <w:rFonts w:hint="eastAsia"/>
          <w:color w:val="000000"/>
          <w:sz w:val="24"/>
        </w:rPr>
        <w:t>距离项目最近的城镇饮用水水源地是</w:t>
      </w:r>
      <w:r>
        <w:rPr>
          <w:sz w:val="24"/>
        </w:rPr>
        <w:t>宁武县县城城区后备水源地(恢河滩两眼深井)</w:t>
      </w:r>
      <w:r>
        <w:rPr>
          <w:rFonts w:hint="eastAsia"/>
          <w:color w:val="000000"/>
          <w:sz w:val="24"/>
        </w:rPr>
        <w:t>，该水源地位于项目东北侧4.1km。其为埋藏型岩溶类型，奥陶系岩溶含水层埋藏于地表700m以上，为典型的岩溶裂隙承压水。根据《宁武县饮用水水源地保护区划分技术报告》，该水源地含有2口水井，只划定一级保护区，不划定二级保护区，一级保护区半径取200m，保护区范围0.3km</w:t>
      </w:r>
      <w:r>
        <w:rPr>
          <w:rFonts w:hint="eastAsia"/>
          <w:color w:val="000000"/>
          <w:sz w:val="24"/>
          <w:vertAlign w:val="superscript"/>
        </w:rPr>
        <w:t>2</w:t>
      </w:r>
      <w:r>
        <w:rPr>
          <w:rFonts w:hint="eastAsia"/>
          <w:color w:val="000000"/>
          <w:sz w:val="24"/>
        </w:rPr>
        <w:t>。</w:t>
      </w:r>
    </w:p>
    <w:p>
      <w:pPr>
        <w:snapToGrid w:val="0"/>
        <w:spacing w:line="480" w:lineRule="exact"/>
        <w:ind w:firstLine="480" w:firstLineChars="200"/>
        <w:rPr>
          <w:color w:val="000000"/>
          <w:sz w:val="24"/>
        </w:rPr>
      </w:pPr>
      <w:r>
        <w:rPr>
          <w:rFonts w:hint="eastAsia"/>
          <w:color w:val="000000"/>
          <w:sz w:val="24"/>
        </w:rPr>
        <w:t>距离项目最近的乡镇饮用水水源地是</w:t>
      </w:r>
      <w:r>
        <w:rPr>
          <w:rFonts w:hint="eastAsia"/>
          <w:color w:val="000000" w:themeColor="text1"/>
          <w:sz w:val="24"/>
          <w14:textFill>
            <w14:solidFill>
              <w14:schemeClr w14:val="tx1"/>
            </w14:solidFill>
          </w14:textFill>
        </w:rPr>
        <w:t>薛家洼乡引泉工程集中供水</w:t>
      </w:r>
      <w:r>
        <w:rPr>
          <w:rFonts w:hint="eastAsia"/>
          <w:color w:val="000000"/>
          <w:sz w:val="24"/>
        </w:rPr>
        <w:t>，该水源地位于项目东北侧约6.5km处。泉水只设一级保护区，一级保护区半径60m。</w:t>
      </w:r>
    </w:p>
    <w:p>
      <w:pPr>
        <w:spacing w:line="480" w:lineRule="exact"/>
        <w:outlineLvl w:val="3"/>
        <w:rPr>
          <w:rFonts w:eastAsia="黑体"/>
          <w:color w:val="000000"/>
          <w:sz w:val="24"/>
          <w:szCs w:val="21"/>
        </w:rPr>
      </w:pPr>
      <w:r>
        <w:rPr>
          <w:rFonts w:hint="eastAsia" w:eastAsia="黑体"/>
          <w:color w:val="000000"/>
          <w:sz w:val="24"/>
          <w:szCs w:val="21"/>
        </w:rPr>
        <w:t>1.2</w:t>
      </w:r>
      <w:r>
        <w:rPr>
          <w:rFonts w:eastAsia="黑体"/>
          <w:color w:val="000000"/>
          <w:sz w:val="24"/>
          <w:szCs w:val="21"/>
        </w:rPr>
        <w:t>.</w:t>
      </w:r>
      <w:r>
        <w:rPr>
          <w:rFonts w:hint="eastAsia" w:eastAsia="黑体"/>
          <w:color w:val="000000"/>
          <w:sz w:val="24"/>
          <w:szCs w:val="21"/>
        </w:rPr>
        <w:t>2评价区水井调查</w:t>
      </w:r>
    </w:p>
    <w:p>
      <w:pPr>
        <w:pStyle w:val="111"/>
        <w:spacing w:line="480" w:lineRule="exact"/>
        <w:ind w:firstLine="422"/>
        <w:rPr>
          <w:color w:val="000000"/>
        </w:rPr>
      </w:pPr>
      <w:r>
        <w:rPr>
          <w:rFonts w:hint="eastAsia"/>
          <w:color w:val="000000"/>
        </w:rPr>
        <w:t>宁武县华盛储售煤有限公司委托山西昌兴同创安全技术服务有限公司对本项目地评价范围内地下水进行监测，现场监测时间为2020年12月20日，调查水井数目为3眼（</w:t>
      </w:r>
      <w:r>
        <w:rPr>
          <w:color w:val="000000"/>
        </w:rPr>
        <w:t>1#</w:t>
      </w:r>
      <w:r>
        <w:rPr>
          <w:rFonts w:hint="eastAsia"/>
          <w:color w:val="000000"/>
        </w:rPr>
        <w:t>上游企业自备水井、</w:t>
      </w:r>
      <w:r>
        <w:rPr>
          <w:color w:val="000000"/>
        </w:rPr>
        <w:t>2#</w:t>
      </w:r>
      <w:r>
        <w:rPr>
          <w:rFonts w:hint="eastAsia"/>
          <w:color w:val="000000"/>
        </w:rPr>
        <w:t>下游企业自备水井、</w:t>
      </w:r>
      <w:r>
        <w:rPr>
          <w:color w:val="000000"/>
        </w:rPr>
        <w:t>3#</w:t>
      </w:r>
      <w:r>
        <w:rPr>
          <w:rFonts w:hint="eastAsia"/>
          <w:color w:val="000000"/>
        </w:rPr>
        <w:t>后石湖村），主要为企业生活和生产用水、居民饮用水井。属于第四系中下更新统松散孔隙含水层。</w:t>
      </w:r>
    </w:p>
    <w:p>
      <w:pPr>
        <w:pStyle w:val="111"/>
        <w:spacing w:line="480" w:lineRule="exact"/>
        <w:ind w:firstLine="422"/>
        <w:rPr>
          <w:color w:val="000000"/>
        </w:rPr>
      </w:pPr>
      <w:r>
        <w:rPr>
          <w:rFonts w:hint="eastAsia"/>
          <w:color w:val="000000"/>
        </w:rPr>
        <w:t>本次评价地下水环境主要保护目标为评价区内分散式饮用水井，本次评价重点进行项目场地污水泄漏对周围村庄饮用水源井影响分析。</w:t>
      </w:r>
    </w:p>
    <w:p>
      <w:pPr>
        <w:pStyle w:val="16"/>
        <w:spacing w:line="440" w:lineRule="exact"/>
        <w:ind w:firstLine="482" w:firstLineChars="200"/>
        <w:jc w:val="center"/>
        <w:rPr>
          <w:b/>
          <w:color w:val="000000"/>
          <w:sz w:val="24"/>
        </w:rPr>
      </w:pPr>
      <w:r>
        <w:rPr>
          <w:b/>
          <w:color w:val="000000"/>
          <w:sz w:val="24"/>
        </w:rPr>
        <w:t>表</w:t>
      </w:r>
      <w:r>
        <w:rPr>
          <w:rFonts w:hint="eastAsia"/>
          <w:b/>
          <w:color w:val="000000"/>
          <w:sz w:val="24"/>
        </w:rPr>
        <w:t>1</w:t>
      </w:r>
      <w:r>
        <w:rPr>
          <w:b/>
          <w:color w:val="000000"/>
          <w:sz w:val="24"/>
        </w:rPr>
        <w:t>-</w:t>
      </w:r>
      <w:r>
        <w:rPr>
          <w:rFonts w:hint="eastAsia"/>
          <w:b/>
          <w:color w:val="000000"/>
          <w:sz w:val="24"/>
        </w:rPr>
        <w:t>3</w:t>
      </w:r>
      <w:r>
        <w:rPr>
          <w:b/>
          <w:color w:val="000000"/>
          <w:sz w:val="24"/>
        </w:rPr>
        <w:t xml:space="preserve">  </w:t>
      </w:r>
      <w:r>
        <w:rPr>
          <w:rFonts w:hint="eastAsia"/>
          <w:b/>
          <w:color w:val="000000"/>
          <w:sz w:val="24"/>
        </w:rPr>
        <w:t>地下水环境保护目标</w:t>
      </w:r>
      <w:r>
        <w:rPr>
          <w:b/>
          <w:color w:val="000000"/>
          <w:sz w:val="24"/>
        </w:rPr>
        <w:t>表</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015"/>
        <w:gridCol w:w="3289"/>
        <w:gridCol w:w="1609"/>
        <w:gridCol w:w="1609"/>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556" w:type="pct"/>
            <w:vAlign w:val="center"/>
          </w:tcPr>
          <w:p>
            <w:pPr>
              <w:pStyle w:val="87"/>
              <w:spacing w:before="24" w:after="24" w:line="240" w:lineRule="auto"/>
            </w:pPr>
            <w:r>
              <w:t>类型</w:t>
            </w:r>
          </w:p>
        </w:tc>
        <w:tc>
          <w:tcPr>
            <w:tcW w:w="1801" w:type="pct"/>
            <w:vAlign w:val="center"/>
          </w:tcPr>
          <w:p>
            <w:pPr>
              <w:pStyle w:val="87"/>
              <w:spacing w:before="24" w:after="24" w:line="240" w:lineRule="auto"/>
            </w:pPr>
            <w:r>
              <w:t>监测点位</w:t>
            </w:r>
          </w:p>
        </w:tc>
        <w:tc>
          <w:tcPr>
            <w:tcW w:w="881" w:type="pct"/>
            <w:vAlign w:val="center"/>
          </w:tcPr>
          <w:p>
            <w:pPr>
              <w:jc w:val="center"/>
              <w:rPr>
                <w:szCs w:val="21"/>
              </w:rPr>
            </w:pPr>
            <w:r>
              <w:rPr>
                <w:szCs w:val="21"/>
              </w:rPr>
              <w:t>方位（相对于</w:t>
            </w:r>
          </w:p>
          <w:p>
            <w:pPr>
              <w:jc w:val="center"/>
              <w:rPr>
                <w:szCs w:val="21"/>
              </w:rPr>
            </w:pPr>
            <w:r>
              <w:rPr>
                <w:szCs w:val="21"/>
              </w:rPr>
              <w:t>主工业场地）</w:t>
            </w:r>
          </w:p>
        </w:tc>
        <w:tc>
          <w:tcPr>
            <w:tcW w:w="881" w:type="pct"/>
            <w:vAlign w:val="center"/>
          </w:tcPr>
          <w:p>
            <w:pPr>
              <w:jc w:val="center"/>
              <w:rPr>
                <w:szCs w:val="21"/>
              </w:rPr>
            </w:pPr>
            <w:r>
              <w:rPr>
                <w:szCs w:val="21"/>
              </w:rPr>
              <w:t>距离（km）</w:t>
            </w:r>
          </w:p>
        </w:tc>
        <w:tc>
          <w:tcPr>
            <w:tcW w:w="880" w:type="pct"/>
            <w:vAlign w:val="center"/>
          </w:tcPr>
          <w:p>
            <w:pPr>
              <w:pStyle w:val="87"/>
              <w:spacing w:before="24" w:after="24" w:line="240" w:lineRule="auto"/>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556" w:type="pct"/>
            <w:vMerge w:val="restart"/>
            <w:vAlign w:val="center"/>
          </w:tcPr>
          <w:p>
            <w:pPr>
              <w:pStyle w:val="87"/>
              <w:spacing w:before="24" w:after="24" w:line="240" w:lineRule="auto"/>
            </w:pPr>
            <w:r>
              <w:t>浅水井及泉水</w:t>
            </w:r>
          </w:p>
        </w:tc>
        <w:tc>
          <w:tcPr>
            <w:tcW w:w="1801" w:type="pct"/>
            <w:vAlign w:val="center"/>
          </w:tcPr>
          <w:p>
            <w:pPr>
              <w:pStyle w:val="87"/>
              <w:spacing w:before="24" w:after="24" w:line="240" w:lineRule="auto"/>
            </w:pPr>
            <w:r>
              <w:rPr>
                <w:rFonts w:hint="eastAsia"/>
                <w:color w:val="000000"/>
              </w:rPr>
              <w:t>上游企业自备水井</w:t>
            </w:r>
          </w:p>
        </w:tc>
        <w:tc>
          <w:tcPr>
            <w:tcW w:w="881" w:type="pct"/>
            <w:vAlign w:val="center"/>
          </w:tcPr>
          <w:p>
            <w:pPr>
              <w:jc w:val="center"/>
              <w:rPr>
                <w:szCs w:val="21"/>
              </w:rPr>
            </w:pPr>
            <w:r>
              <w:rPr>
                <w:rFonts w:hint="eastAsia"/>
                <w:szCs w:val="21"/>
              </w:rPr>
              <w:t>WN</w:t>
            </w:r>
          </w:p>
        </w:tc>
        <w:tc>
          <w:tcPr>
            <w:tcW w:w="881" w:type="pct"/>
            <w:vAlign w:val="center"/>
          </w:tcPr>
          <w:p>
            <w:pPr>
              <w:jc w:val="center"/>
              <w:rPr>
                <w:szCs w:val="21"/>
              </w:rPr>
            </w:pPr>
            <w:r>
              <w:rPr>
                <w:rFonts w:hint="eastAsia"/>
                <w:szCs w:val="21"/>
              </w:rPr>
              <w:t>0.3</w:t>
            </w:r>
          </w:p>
        </w:tc>
        <w:tc>
          <w:tcPr>
            <w:tcW w:w="880" w:type="pct"/>
            <w:vAlign w:val="center"/>
          </w:tcPr>
          <w:p>
            <w:pPr>
              <w:pStyle w:val="87"/>
              <w:spacing w:before="24" w:after="24" w:line="240" w:lineRule="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556" w:type="pct"/>
            <w:vMerge w:val="continue"/>
            <w:vAlign w:val="center"/>
          </w:tcPr>
          <w:p>
            <w:pPr>
              <w:pStyle w:val="87"/>
              <w:spacing w:before="24" w:after="24" w:line="240" w:lineRule="auto"/>
            </w:pPr>
          </w:p>
        </w:tc>
        <w:tc>
          <w:tcPr>
            <w:tcW w:w="1801" w:type="pct"/>
            <w:vAlign w:val="center"/>
          </w:tcPr>
          <w:p>
            <w:pPr>
              <w:pStyle w:val="87"/>
              <w:spacing w:before="24" w:after="24" w:line="240" w:lineRule="auto"/>
            </w:pPr>
            <w:r>
              <w:rPr>
                <w:rFonts w:hint="eastAsia"/>
                <w:color w:val="000000"/>
              </w:rPr>
              <w:t>下游企业自备水井</w:t>
            </w:r>
          </w:p>
        </w:tc>
        <w:tc>
          <w:tcPr>
            <w:tcW w:w="881" w:type="pct"/>
            <w:vAlign w:val="center"/>
          </w:tcPr>
          <w:p>
            <w:pPr>
              <w:jc w:val="center"/>
              <w:rPr>
                <w:szCs w:val="21"/>
              </w:rPr>
            </w:pPr>
            <w:r>
              <w:rPr>
                <w:rFonts w:hint="eastAsia"/>
                <w:szCs w:val="21"/>
              </w:rPr>
              <w:t>ES</w:t>
            </w:r>
          </w:p>
        </w:tc>
        <w:tc>
          <w:tcPr>
            <w:tcW w:w="881" w:type="pct"/>
            <w:vAlign w:val="center"/>
          </w:tcPr>
          <w:p>
            <w:pPr>
              <w:jc w:val="center"/>
              <w:rPr>
                <w:szCs w:val="21"/>
              </w:rPr>
            </w:pPr>
            <w:r>
              <w:rPr>
                <w:rFonts w:hint="eastAsia"/>
                <w:szCs w:val="21"/>
              </w:rPr>
              <w:t>0.8</w:t>
            </w:r>
          </w:p>
        </w:tc>
        <w:tc>
          <w:tcPr>
            <w:tcW w:w="880" w:type="pct"/>
            <w:vAlign w:val="center"/>
          </w:tcPr>
          <w:p>
            <w:pPr>
              <w:pStyle w:val="87"/>
              <w:spacing w:before="24" w:after="24" w:line="240" w:lineRule="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556" w:type="pct"/>
            <w:vMerge w:val="continue"/>
            <w:vAlign w:val="center"/>
          </w:tcPr>
          <w:p>
            <w:pPr>
              <w:pStyle w:val="87"/>
              <w:spacing w:before="24" w:after="24" w:line="240" w:lineRule="auto"/>
            </w:pPr>
          </w:p>
        </w:tc>
        <w:tc>
          <w:tcPr>
            <w:tcW w:w="1801" w:type="pct"/>
            <w:vAlign w:val="center"/>
          </w:tcPr>
          <w:p>
            <w:pPr>
              <w:pStyle w:val="87"/>
              <w:spacing w:before="24" w:after="24" w:line="240" w:lineRule="auto"/>
            </w:pPr>
            <w:r>
              <w:rPr>
                <w:rFonts w:hint="eastAsia"/>
                <w:color w:val="000000"/>
              </w:rPr>
              <w:t>后石湖村</w:t>
            </w:r>
          </w:p>
        </w:tc>
        <w:tc>
          <w:tcPr>
            <w:tcW w:w="881" w:type="pct"/>
            <w:vAlign w:val="center"/>
          </w:tcPr>
          <w:p>
            <w:pPr>
              <w:jc w:val="center"/>
              <w:rPr>
                <w:szCs w:val="21"/>
              </w:rPr>
            </w:pPr>
            <w:r>
              <w:rPr>
                <w:rFonts w:hint="eastAsia"/>
                <w:szCs w:val="21"/>
              </w:rPr>
              <w:t>ES</w:t>
            </w:r>
          </w:p>
        </w:tc>
        <w:tc>
          <w:tcPr>
            <w:tcW w:w="881" w:type="pct"/>
            <w:vAlign w:val="center"/>
          </w:tcPr>
          <w:p>
            <w:pPr>
              <w:jc w:val="center"/>
              <w:rPr>
                <w:szCs w:val="21"/>
              </w:rPr>
            </w:pPr>
            <w:r>
              <w:rPr>
                <w:rFonts w:hint="eastAsia"/>
                <w:szCs w:val="21"/>
              </w:rPr>
              <w:t>1.7</w:t>
            </w:r>
          </w:p>
        </w:tc>
        <w:tc>
          <w:tcPr>
            <w:tcW w:w="880" w:type="pct"/>
            <w:vAlign w:val="center"/>
          </w:tcPr>
          <w:p>
            <w:pPr>
              <w:pStyle w:val="87"/>
              <w:spacing w:before="24" w:after="24" w:line="240" w:lineRule="auto"/>
            </w:pPr>
            <w:r>
              <w:rPr>
                <w:rFonts w:hint="eastAsia"/>
              </w:rPr>
              <w:t>/</w:t>
            </w:r>
          </w:p>
        </w:tc>
      </w:tr>
    </w:tbl>
    <w:p>
      <w:pPr>
        <w:spacing w:line="480" w:lineRule="exact"/>
        <w:outlineLvl w:val="3"/>
        <w:rPr>
          <w:rFonts w:eastAsia="黑体"/>
          <w:color w:val="000000"/>
          <w:sz w:val="24"/>
          <w:szCs w:val="21"/>
        </w:rPr>
      </w:pPr>
      <w:r>
        <w:rPr>
          <w:rFonts w:hint="eastAsia" w:eastAsia="黑体"/>
          <w:color w:val="000000"/>
          <w:sz w:val="24"/>
          <w:szCs w:val="21"/>
        </w:rPr>
        <w:t>1.2.3地下水环境质量现状监测</w:t>
      </w:r>
    </w:p>
    <w:p>
      <w:pPr>
        <w:spacing w:line="480" w:lineRule="exact"/>
        <w:outlineLvl w:val="3"/>
        <w:rPr>
          <w:rFonts w:eastAsia="黑体"/>
          <w:color w:val="000000"/>
          <w:sz w:val="24"/>
          <w:szCs w:val="21"/>
        </w:rPr>
      </w:pPr>
      <w:r>
        <w:rPr>
          <w:rFonts w:hint="eastAsia" w:eastAsia="黑体"/>
          <w:color w:val="000000"/>
          <w:sz w:val="24"/>
          <w:szCs w:val="21"/>
        </w:rPr>
        <w:t>1.2.3.1</w:t>
      </w:r>
      <w:r>
        <w:rPr>
          <w:rFonts w:eastAsia="黑体"/>
          <w:color w:val="000000"/>
          <w:sz w:val="24"/>
          <w:szCs w:val="21"/>
        </w:rPr>
        <w:t>监测项目</w:t>
      </w:r>
    </w:p>
    <w:p>
      <w:pPr>
        <w:spacing w:line="480" w:lineRule="exact"/>
        <w:ind w:left="-28" w:firstLine="451" w:firstLineChars="188"/>
        <w:rPr>
          <w:kern w:val="0"/>
          <w:sz w:val="24"/>
        </w:rPr>
      </w:pPr>
      <w:r>
        <w:rPr>
          <w:color w:val="000000"/>
          <w:sz w:val="24"/>
        </w:rPr>
        <w:t>①</w:t>
      </w:r>
      <w:r>
        <w:rPr>
          <w:rFonts w:hAnsi="宋体"/>
          <w:kern w:val="0"/>
          <w:sz w:val="24"/>
        </w:rPr>
        <w:t>检测分析</w:t>
      </w:r>
      <w:r>
        <w:rPr>
          <w:kern w:val="0"/>
          <w:sz w:val="24"/>
        </w:rPr>
        <w:t>Ca</w:t>
      </w:r>
      <w:r>
        <w:rPr>
          <w:kern w:val="0"/>
          <w:sz w:val="24"/>
          <w:vertAlign w:val="superscript"/>
        </w:rPr>
        <w:t>2+</w:t>
      </w:r>
      <w:r>
        <w:rPr>
          <w:rFonts w:hAnsi="宋体"/>
          <w:kern w:val="0"/>
          <w:sz w:val="24"/>
        </w:rPr>
        <w:t>、</w:t>
      </w:r>
      <w:r>
        <w:rPr>
          <w:kern w:val="0"/>
          <w:sz w:val="24"/>
        </w:rPr>
        <w:t>Mg</w:t>
      </w:r>
      <w:r>
        <w:rPr>
          <w:kern w:val="0"/>
          <w:sz w:val="24"/>
          <w:vertAlign w:val="superscript"/>
        </w:rPr>
        <w:t>2+</w:t>
      </w:r>
      <w:r>
        <w:rPr>
          <w:rFonts w:hAnsi="宋体"/>
          <w:kern w:val="0"/>
          <w:sz w:val="24"/>
        </w:rPr>
        <w:t>、</w:t>
      </w:r>
      <w:r>
        <w:rPr>
          <w:kern w:val="0"/>
          <w:sz w:val="24"/>
        </w:rPr>
        <w:t>K</w:t>
      </w:r>
      <w:r>
        <w:rPr>
          <w:kern w:val="0"/>
          <w:sz w:val="24"/>
          <w:vertAlign w:val="superscript"/>
        </w:rPr>
        <w:t>+</w:t>
      </w:r>
      <w:r>
        <w:rPr>
          <w:rFonts w:hAnsi="宋体"/>
          <w:kern w:val="0"/>
          <w:sz w:val="24"/>
        </w:rPr>
        <w:t>、</w:t>
      </w:r>
      <w:r>
        <w:rPr>
          <w:kern w:val="0"/>
          <w:sz w:val="24"/>
        </w:rPr>
        <w:t>Na</w:t>
      </w:r>
      <w:r>
        <w:rPr>
          <w:kern w:val="0"/>
          <w:sz w:val="24"/>
          <w:vertAlign w:val="superscript"/>
        </w:rPr>
        <w:t>+</w:t>
      </w:r>
      <w:r>
        <w:rPr>
          <w:rFonts w:hAnsi="宋体"/>
          <w:kern w:val="0"/>
          <w:sz w:val="24"/>
        </w:rPr>
        <w:t>、</w:t>
      </w:r>
      <w:r>
        <w:rPr>
          <w:kern w:val="0"/>
          <w:sz w:val="24"/>
        </w:rPr>
        <w:t>Cl</w:t>
      </w:r>
      <w:r>
        <w:rPr>
          <w:kern w:val="0"/>
          <w:sz w:val="24"/>
          <w:vertAlign w:val="superscript"/>
        </w:rPr>
        <w:t>-</w:t>
      </w:r>
      <w:r>
        <w:rPr>
          <w:rFonts w:hAnsi="宋体"/>
          <w:kern w:val="0"/>
          <w:sz w:val="24"/>
        </w:rPr>
        <w:t>、</w:t>
      </w:r>
      <w:r>
        <w:rPr>
          <w:kern w:val="0"/>
          <w:sz w:val="24"/>
        </w:rPr>
        <w:t>SO</w:t>
      </w:r>
      <w:r>
        <w:rPr>
          <w:kern w:val="0"/>
          <w:sz w:val="24"/>
          <w:vertAlign w:val="subscript"/>
        </w:rPr>
        <w:t>4</w:t>
      </w:r>
      <w:r>
        <w:rPr>
          <w:kern w:val="0"/>
          <w:sz w:val="24"/>
          <w:vertAlign w:val="superscript"/>
        </w:rPr>
        <w:t>2-</w:t>
      </w:r>
      <w:r>
        <w:rPr>
          <w:rFonts w:hAnsi="宋体"/>
          <w:kern w:val="0"/>
          <w:sz w:val="24"/>
        </w:rPr>
        <w:t>、</w:t>
      </w:r>
      <w:r>
        <w:rPr>
          <w:kern w:val="0"/>
          <w:sz w:val="24"/>
        </w:rPr>
        <w:t>HCO</w:t>
      </w:r>
      <w:r>
        <w:rPr>
          <w:kern w:val="0"/>
          <w:sz w:val="24"/>
          <w:vertAlign w:val="subscript"/>
        </w:rPr>
        <w:t>3</w:t>
      </w:r>
      <w:r>
        <w:rPr>
          <w:kern w:val="0"/>
          <w:sz w:val="24"/>
          <w:vertAlign w:val="superscript"/>
        </w:rPr>
        <w:t>-</w:t>
      </w:r>
      <w:r>
        <w:rPr>
          <w:rFonts w:hAnsi="宋体"/>
          <w:kern w:val="0"/>
          <w:sz w:val="24"/>
        </w:rPr>
        <w:t>、</w:t>
      </w:r>
      <w:r>
        <w:rPr>
          <w:kern w:val="0"/>
          <w:sz w:val="24"/>
        </w:rPr>
        <w:t>CO</w:t>
      </w:r>
      <w:r>
        <w:rPr>
          <w:kern w:val="0"/>
          <w:sz w:val="24"/>
          <w:vertAlign w:val="subscript"/>
        </w:rPr>
        <w:t>3</w:t>
      </w:r>
      <w:r>
        <w:rPr>
          <w:kern w:val="0"/>
          <w:sz w:val="24"/>
          <w:vertAlign w:val="superscript"/>
        </w:rPr>
        <w:t>2-</w:t>
      </w:r>
      <w:r>
        <w:rPr>
          <w:rFonts w:hAnsi="宋体"/>
          <w:kern w:val="0"/>
          <w:sz w:val="24"/>
        </w:rPr>
        <w:t>浓度</w:t>
      </w:r>
      <w:r>
        <w:rPr>
          <w:rFonts w:hint="eastAsia" w:hAnsi="宋体"/>
          <w:kern w:val="0"/>
          <w:sz w:val="24"/>
        </w:rPr>
        <w:t>共8项</w:t>
      </w:r>
      <w:r>
        <w:rPr>
          <w:rFonts w:hAnsi="宋体"/>
          <w:kern w:val="0"/>
          <w:sz w:val="24"/>
        </w:rPr>
        <w:t>；</w:t>
      </w:r>
    </w:p>
    <w:p>
      <w:pPr>
        <w:spacing w:line="480" w:lineRule="exact"/>
        <w:ind w:left="-28" w:firstLine="451" w:firstLineChars="188"/>
        <w:rPr>
          <w:color w:val="000000"/>
          <w:sz w:val="24"/>
        </w:rPr>
      </w:pPr>
      <w:r>
        <w:rPr>
          <w:rFonts w:hAnsi="宋体"/>
          <w:kern w:val="0"/>
          <w:sz w:val="24"/>
        </w:rPr>
        <w:t>②地下水水质因子：</w:t>
      </w:r>
      <w:r>
        <w:rPr>
          <w:kern w:val="0"/>
          <w:sz w:val="24"/>
        </w:rPr>
        <w:t>pH</w:t>
      </w:r>
      <w:r>
        <w:rPr>
          <w:rFonts w:hAnsi="宋体"/>
          <w:kern w:val="0"/>
          <w:sz w:val="24"/>
        </w:rPr>
        <w:t>、总硬度、溶解性总固体、</w:t>
      </w:r>
      <w:r>
        <w:rPr>
          <w:rFonts w:hint="eastAsia" w:hAnsi="宋体"/>
          <w:sz w:val="24"/>
        </w:rPr>
        <w:t>高锰酸盐指数、</w:t>
      </w:r>
      <w:r>
        <w:rPr>
          <w:rFonts w:hAnsi="宋体"/>
          <w:kern w:val="0"/>
          <w:sz w:val="24"/>
        </w:rPr>
        <w:t>硫酸盐、氯化物、挥发性酚类、氨氮、硝酸盐、亚硝酸盐、氰化物、</w:t>
      </w:r>
      <w:r>
        <w:rPr>
          <w:rFonts w:hAnsi="宋体"/>
          <w:color w:val="000000"/>
          <w:sz w:val="24"/>
        </w:rPr>
        <w:t>氟化物、</w:t>
      </w:r>
      <w:r>
        <w:rPr>
          <w:rFonts w:hAnsi="宋体"/>
          <w:kern w:val="0"/>
          <w:sz w:val="24"/>
        </w:rPr>
        <w:t>砷、汞、</w:t>
      </w:r>
      <w:r>
        <w:rPr>
          <w:rFonts w:hint="eastAsia" w:hAnsi="宋体"/>
          <w:sz w:val="24"/>
        </w:rPr>
        <w:t>铁、锰、镉、</w:t>
      </w:r>
      <w:r>
        <w:rPr>
          <w:rFonts w:hAnsi="宋体"/>
          <w:kern w:val="0"/>
          <w:sz w:val="24"/>
        </w:rPr>
        <w:t>六价铬、</w:t>
      </w:r>
      <w:r>
        <w:rPr>
          <w:rFonts w:hint="eastAsia" w:hAnsi="宋体"/>
          <w:kern w:val="0"/>
          <w:sz w:val="24"/>
        </w:rPr>
        <w:t>铅、</w:t>
      </w:r>
      <w:r>
        <w:rPr>
          <w:bCs/>
          <w:color w:val="000000"/>
          <w:spacing w:val="4"/>
          <w:sz w:val="24"/>
        </w:rPr>
        <w:t>总</w:t>
      </w:r>
      <w:r>
        <w:rPr>
          <w:rFonts w:hAnsi="宋体"/>
          <w:color w:val="000000"/>
          <w:sz w:val="24"/>
        </w:rPr>
        <w:t>大肠菌群、细菌总数</w:t>
      </w:r>
      <w:r>
        <w:rPr>
          <w:rFonts w:hint="eastAsia" w:hAnsi="宋体"/>
          <w:color w:val="000000"/>
          <w:sz w:val="24"/>
        </w:rPr>
        <w:t>共21项</w:t>
      </w:r>
      <w:r>
        <w:rPr>
          <w:sz w:val="24"/>
        </w:rPr>
        <w:t>，并记录井深、水位、水温。</w:t>
      </w:r>
    </w:p>
    <w:p>
      <w:pPr>
        <w:spacing w:line="480" w:lineRule="exact"/>
        <w:outlineLvl w:val="3"/>
        <w:rPr>
          <w:rFonts w:eastAsia="黑体"/>
          <w:color w:val="000000"/>
          <w:sz w:val="24"/>
          <w:szCs w:val="21"/>
        </w:rPr>
      </w:pPr>
      <w:r>
        <w:rPr>
          <w:rFonts w:hint="eastAsia" w:eastAsia="黑体"/>
          <w:color w:val="000000"/>
          <w:sz w:val="24"/>
          <w:szCs w:val="21"/>
        </w:rPr>
        <w:t>1.2.3.2</w:t>
      </w:r>
      <w:r>
        <w:rPr>
          <w:rFonts w:eastAsia="黑体"/>
          <w:color w:val="000000"/>
          <w:sz w:val="24"/>
          <w:szCs w:val="21"/>
        </w:rPr>
        <w:t>监测分析方法</w:t>
      </w:r>
    </w:p>
    <w:p>
      <w:pPr>
        <w:adjustRightInd w:val="0"/>
        <w:snapToGrid w:val="0"/>
        <w:spacing w:line="480" w:lineRule="exact"/>
        <w:ind w:firstLine="496" w:firstLineChars="200"/>
        <w:rPr>
          <w:color w:val="000000"/>
          <w:spacing w:val="4"/>
          <w:sz w:val="24"/>
        </w:rPr>
      </w:pPr>
      <w:r>
        <w:rPr>
          <w:color w:val="000000"/>
          <w:spacing w:val="4"/>
          <w:sz w:val="24"/>
        </w:rPr>
        <w:t>地下水分析方法按GB5750-85《生活饮用水标准检验法》进行</w:t>
      </w:r>
      <w:r>
        <w:rPr>
          <w:rFonts w:hint="eastAsia"/>
          <w:color w:val="000000"/>
          <w:spacing w:val="4"/>
          <w:sz w:val="24"/>
        </w:rPr>
        <w:t>。地下水分析方法和最低检出限见表1-4。</w:t>
      </w:r>
    </w:p>
    <w:p>
      <w:pPr>
        <w:spacing w:line="480" w:lineRule="exact"/>
        <w:jc w:val="center"/>
        <w:rPr>
          <w:b/>
          <w:color w:val="000000"/>
          <w:sz w:val="24"/>
        </w:rPr>
      </w:pPr>
      <w:r>
        <w:rPr>
          <w:b/>
          <w:color w:val="000000"/>
          <w:sz w:val="24"/>
        </w:rPr>
        <w:t>表</w:t>
      </w:r>
      <w:r>
        <w:rPr>
          <w:rFonts w:hint="eastAsia"/>
          <w:b/>
          <w:color w:val="000000"/>
          <w:sz w:val="24"/>
        </w:rPr>
        <w:t>1</w:t>
      </w:r>
      <w:r>
        <w:rPr>
          <w:b/>
          <w:color w:val="000000"/>
          <w:sz w:val="24"/>
        </w:rPr>
        <w:t>-</w:t>
      </w:r>
      <w:r>
        <w:rPr>
          <w:rFonts w:hint="eastAsia"/>
          <w:b/>
          <w:color w:val="000000"/>
          <w:sz w:val="24"/>
        </w:rPr>
        <w:t>4 监测分析方法一览表</w:t>
      </w:r>
    </w:p>
    <w:tbl>
      <w:tblPr>
        <w:tblStyle w:val="32"/>
        <w:tblW w:w="5000" w:type="pct"/>
        <w:jc w:val="center"/>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3"/>
        <w:gridCol w:w="571"/>
        <w:gridCol w:w="1434"/>
        <w:gridCol w:w="1735"/>
        <w:gridCol w:w="1181"/>
        <w:gridCol w:w="3902"/>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556" w:type="pct"/>
            <w:gridSpan w:val="2"/>
            <w:vAlign w:val="center"/>
          </w:tcPr>
          <w:p>
            <w:pPr>
              <w:pStyle w:val="112"/>
              <w:jc w:val="center"/>
              <w:textAlignment w:val="center"/>
              <w:rPr>
                <w:color w:val="000000"/>
                <w:sz w:val="21"/>
                <w:szCs w:val="21"/>
              </w:rPr>
            </w:pPr>
            <w:r>
              <w:rPr>
                <w:rFonts w:hAnsi="宋体"/>
                <w:color w:val="000000"/>
                <w:sz w:val="21"/>
                <w:szCs w:val="21"/>
              </w:rPr>
              <w:t>序号</w:t>
            </w:r>
          </w:p>
        </w:tc>
        <w:tc>
          <w:tcPr>
            <w:tcW w:w="772" w:type="pct"/>
            <w:vAlign w:val="center"/>
          </w:tcPr>
          <w:p>
            <w:pPr>
              <w:pStyle w:val="112"/>
              <w:ind w:firstLine="45"/>
              <w:jc w:val="center"/>
              <w:textAlignment w:val="center"/>
              <w:rPr>
                <w:color w:val="000000"/>
                <w:sz w:val="21"/>
                <w:szCs w:val="21"/>
              </w:rPr>
            </w:pPr>
            <w:r>
              <w:rPr>
                <w:rFonts w:hAnsi="宋体"/>
                <w:color w:val="000000"/>
                <w:sz w:val="21"/>
                <w:szCs w:val="21"/>
              </w:rPr>
              <w:t>分析项目</w:t>
            </w:r>
          </w:p>
        </w:tc>
        <w:tc>
          <w:tcPr>
            <w:tcW w:w="933" w:type="pct"/>
            <w:vAlign w:val="center"/>
          </w:tcPr>
          <w:p>
            <w:pPr>
              <w:pStyle w:val="112"/>
              <w:jc w:val="both"/>
              <w:textAlignment w:val="center"/>
              <w:rPr>
                <w:color w:val="000000"/>
                <w:sz w:val="21"/>
                <w:szCs w:val="21"/>
              </w:rPr>
            </w:pPr>
            <w:r>
              <w:rPr>
                <w:rFonts w:hint="eastAsia" w:hAnsi="宋体"/>
                <w:color w:val="000000"/>
                <w:sz w:val="21"/>
                <w:szCs w:val="21"/>
              </w:rPr>
              <w:t>采样方法依据</w:t>
            </w:r>
          </w:p>
        </w:tc>
        <w:tc>
          <w:tcPr>
            <w:tcW w:w="636" w:type="pct"/>
            <w:vAlign w:val="center"/>
          </w:tcPr>
          <w:p>
            <w:pPr>
              <w:pStyle w:val="112"/>
              <w:jc w:val="center"/>
              <w:textAlignment w:val="center"/>
              <w:rPr>
                <w:rFonts w:hAnsi="宋体"/>
                <w:color w:val="000000"/>
                <w:sz w:val="21"/>
                <w:szCs w:val="21"/>
                <w:lang w:val="zh-CN"/>
              </w:rPr>
            </w:pPr>
            <w:r>
              <w:rPr>
                <w:rFonts w:hint="eastAsia" w:hAnsi="宋体"/>
                <w:color w:val="000000"/>
                <w:sz w:val="21"/>
                <w:szCs w:val="21"/>
                <w:lang w:val="zh-CN"/>
              </w:rPr>
              <w:t>分析方法</w:t>
            </w:r>
          </w:p>
          <w:p>
            <w:pPr>
              <w:pStyle w:val="112"/>
              <w:jc w:val="center"/>
              <w:textAlignment w:val="center"/>
              <w:rPr>
                <w:color w:val="000000"/>
                <w:sz w:val="21"/>
                <w:szCs w:val="21"/>
              </w:rPr>
            </w:pPr>
            <w:r>
              <w:rPr>
                <w:rFonts w:hAnsi="宋体"/>
                <w:color w:val="000000"/>
                <w:sz w:val="21"/>
                <w:szCs w:val="21"/>
                <w:lang w:val="zh-CN"/>
              </w:rPr>
              <w:t>检出限</w:t>
            </w:r>
          </w:p>
        </w:tc>
        <w:tc>
          <w:tcPr>
            <w:tcW w:w="2100" w:type="pct"/>
            <w:vAlign w:val="center"/>
          </w:tcPr>
          <w:p>
            <w:pPr>
              <w:pStyle w:val="112"/>
              <w:jc w:val="center"/>
              <w:textAlignment w:val="center"/>
              <w:rPr>
                <w:color w:val="000000"/>
                <w:sz w:val="21"/>
                <w:szCs w:val="21"/>
              </w:rPr>
            </w:pPr>
            <w:r>
              <w:rPr>
                <w:rFonts w:hint="eastAsia" w:hAnsi="宋体"/>
                <w:color w:val="000000"/>
                <w:sz w:val="21"/>
                <w:szCs w:val="21"/>
              </w:rPr>
              <w:t>分析方法依据</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restart"/>
            <w:vAlign w:val="center"/>
          </w:tcPr>
          <w:p>
            <w:pPr>
              <w:pStyle w:val="112"/>
              <w:jc w:val="center"/>
              <w:textAlignment w:val="center"/>
              <w:rPr>
                <w:color w:val="000000"/>
                <w:sz w:val="21"/>
                <w:szCs w:val="21"/>
              </w:rPr>
            </w:pPr>
            <w:r>
              <w:rPr>
                <w:rFonts w:hAnsi="宋体"/>
                <w:color w:val="000000"/>
                <w:sz w:val="21"/>
                <w:szCs w:val="21"/>
              </w:rPr>
              <w:t>地</w:t>
            </w:r>
          </w:p>
          <w:p>
            <w:pPr>
              <w:pStyle w:val="112"/>
              <w:jc w:val="center"/>
              <w:textAlignment w:val="center"/>
              <w:rPr>
                <w:color w:val="000000"/>
                <w:sz w:val="21"/>
                <w:szCs w:val="21"/>
              </w:rPr>
            </w:pPr>
            <w:r>
              <w:rPr>
                <w:rFonts w:hAnsi="宋体"/>
                <w:color w:val="000000"/>
                <w:sz w:val="21"/>
                <w:szCs w:val="21"/>
              </w:rPr>
              <w:t>下</w:t>
            </w:r>
          </w:p>
          <w:p>
            <w:pPr>
              <w:pStyle w:val="112"/>
              <w:jc w:val="center"/>
              <w:textAlignment w:val="center"/>
              <w:rPr>
                <w:color w:val="000000"/>
                <w:sz w:val="21"/>
                <w:szCs w:val="21"/>
              </w:rPr>
            </w:pPr>
            <w:r>
              <w:rPr>
                <w:rFonts w:hAnsi="宋体"/>
                <w:color w:val="000000"/>
                <w:sz w:val="21"/>
                <w:szCs w:val="21"/>
              </w:rPr>
              <w:t>水</w:t>
            </w:r>
          </w:p>
        </w:tc>
        <w:tc>
          <w:tcPr>
            <w:tcW w:w="306" w:type="pct"/>
            <w:vAlign w:val="center"/>
          </w:tcPr>
          <w:p>
            <w:pPr>
              <w:pStyle w:val="112"/>
              <w:jc w:val="center"/>
              <w:textAlignment w:val="center"/>
              <w:rPr>
                <w:color w:val="000000"/>
                <w:sz w:val="21"/>
                <w:szCs w:val="21"/>
              </w:rPr>
            </w:pPr>
            <w:r>
              <w:rPr>
                <w:color w:val="000000"/>
                <w:sz w:val="21"/>
                <w:szCs w:val="21"/>
              </w:rPr>
              <w:t>1</w:t>
            </w:r>
          </w:p>
        </w:tc>
        <w:tc>
          <w:tcPr>
            <w:tcW w:w="772" w:type="pct"/>
            <w:vAlign w:val="center"/>
          </w:tcPr>
          <w:p>
            <w:pPr>
              <w:pStyle w:val="112"/>
              <w:ind w:firstLine="45"/>
              <w:jc w:val="center"/>
              <w:textAlignment w:val="center"/>
              <w:rPr>
                <w:color w:val="000000"/>
                <w:sz w:val="21"/>
                <w:szCs w:val="21"/>
              </w:rPr>
            </w:pPr>
            <w:r>
              <w:rPr>
                <w:color w:val="000000"/>
                <w:sz w:val="21"/>
                <w:szCs w:val="21"/>
              </w:rPr>
              <w:t>PH</w:t>
            </w:r>
          </w:p>
        </w:tc>
        <w:tc>
          <w:tcPr>
            <w:tcW w:w="933" w:type="pct"/>
            <w:vMerge w:val="restart"/>
            <w:vAlign w:val="center"/>
          </w:tcPr>
          <w:p>
            <w:pPr>
              <w:jc w:val="center"/>
              <w:rPr>
                <w:rFonts w:hAnsi="宋体"/>
                <w:color w:val="000000"/>
                <w:szCs w:val="21"/>
              </w:rPr>
            </w:pPr>
            <w:r>
              <w:rPr>
                <w:rFonts w:hint="eastAsia" w:hAnsi="宋体"/>
                <w:color w:val="000000"/>
                <w:szCs w:val="21"/>
              </w:rPr>
              <w:t>HJ/T164-2004《地下水监测技术规范》</w:t>
            </w:r>
          </w:p>
        </w:tc>
        <w:tc>
          <w:tcPr>
            <w:tcW w:w="636" w:type="pct"/>
            <w:vAlign w:val="center"/>
          </w:tcPr>
          <w:p>
            <w:pPr>
              <w:pStyle w:val="112"/>
              <w:jc w:val="center"/>
              <w:textAlignment w:val="center"/>
              <w:rPr>
                <w:color w:val="000000"/>
                <w:sz w:val="21"/>
                <w:szCs w:val="21"/>
              </w:rPr>
            </w:pPr>
            <w:r>
              <w:rPr>
                <w:rFonts w:hint="eastAsia"/>
                <w:color w:val="000000"/>
                <w:sz w:val="21"/>
                <w:szCs w:val="21"/>
              </w:rPr>
              <w:t>-</w:t>
            </w:r>
          </w:p>
        </w:tc>
        <w:tc>
          <w:tcPr>
            <w:tcW w:w="2100" w:type="pct"/>
            <w:vAlign w:val="center"/>
          </w:tcPr>
          <w:p>
            <w:pPr>
              <w:pStyle w:val="112"/>
              <w:jc w:val="center"/>
              <w:textAlignment w:val="center"/>
              <w:rPr>
                <w:color w:val="000000"/>
                <w:sz w:val="21"/>
                <w:szCs w:val="21"/>
              </w:rPr>
            </w:pPr>
            <w:r>
              <w:rPr>
                <w:rFonts w:hint="eastAsia"/>
                <w:color w:val="000000"/>
                <w:sz w:val="21"/>
                <w:szCs w:val="21"/>
              </w:rPr>
              <w:t>《生活饮用水标准检验方法 感官性状和物理指标》5.1玻璃电极法GB/T5750.4-2006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2</w:t>
            </w:r>
          </w:p>
        </w:tc>
        <w:tc>
          <w:tcPr>
            <w:tcW w:w="772" w:type="pct"/>
            <w:vAlign w:val="center"/>
          </w:tcPr>
          <w:p>
            <w:pPr>
              <w:pStyle w:val="112"/>
              <w:ind w:firstLine="45"/>
              <w:jc w:val="center"/>
              <w:textAlignment w:val="center"/>
              <w:rPr>
                <w:color w:val="000000"/>
                <w:sz w:val="21"/>
                <w:szCs w:val="21"/>
              </w:rPr>
            </w:pPr>
            <w:r>
              <w:rPr>
                <w:rFonts w:hint="eastAsia" w:hAnsi="宋体"/>
                <w:color w:val="000000"/>
                <w:sz w:val="21"/>
                <w:szCs w:val="21"/>
              </w:rPr>
              <w:t>氨氮</w:t>
            </w:r>
          </w:p>
        </w:tc>
        <w:tc>
          <w:tcPr>
            <w:tcW w:w="933" w:type="pct"/>
            <w:vMerge w:val="continue"/>
            <w:vAlign w:val="center"/>
          </w:tcPr>
          <w:p>
            <w:pPr>
              <w:pStyle w:val="112"/>
              <w:jc w:val="center"/>
              <w:textAlignment w:val="center"/>
              <w:rPr>
                <w:color w:val="000000"/>
                <w:sz w:val="21"/>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0.02</w:t>
            </w:r>
            <w:r>
              <w:rPr>
                <w:color w:val="000000"/>
                <w:sz w:val="21"/>
                <w:szCs w:val="21"/>
              </w:rPr>
              <w:t>mg/L</w:t>
            </w:r>
          </w:p>
        </w:tc>
        <w:tc>
          <w:tcPr>
            <w:tcW w:w="2100" w:type="pct"/>
            <w:vAlign w:val="center"/>
          </w:tcPr>
          <w:p>
            <w:pPr>
              <w:pStyle w:val="112"/>
              <w:jc w:val="center"/>
              <w:textAlignment w:val="center"/>
              <w:rPr>
                <w:color w:val="000000"/>
                <w:sz w:val="21"/>
                <w:szCs w:val="21"/>
              </w:rPr>
            </w:pPr>
            <w:r>
              <w:rPr>
                <w:rFonts w:hint="eastAsia"/>
                <w:color w:val="000000"/>
                <w:sz w:val="21"/>
                <w:szCs w:val="21"/>
              </w:rPr>
              <w:t>《生活饮用水标准检验方法 无机非金属指标》9.1纳氏试剂分光光度GB/T5750.5-2006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3</w:t>
            </w:r>
          </w:p>
        </w:tc>
        <w:tc>
          <w:tcPr>
            <w:tcW w:w="772" w:type="pct"/>
            <w:vAlign w:val="center"/>
          </w:tcPr>
          <w:p>
            <w:pPr>
              <w:pStyle w:val="112"/>
              <w:ind w:left="-220" w:leftChars="-105" w:right="-101" w:rightChars="-48"/>
              <w:jc w:val="center"/>
              <w:textAlignment w:val="center"/>
              <w:rPr>
                <w:color w:val="000000"/>
                <w:sz w:val="21"/>
                <w:szCs w:val="21"/>
              </w:rPr>
            </w:pPr>
            <w:r>
              <w:rPr>
                <w:rFonts w:hint="eastAsia"/>
                <w:color w:val="000000"/>
                <w:sz w:val="21"/>
                <w:szCs w:val="21"/>
              </w:rPr>
              <w:t>硝酸盐</w:t>
            </w:r>
          </w:p>
          <w:p>
            <w:pPr>
              <w:pStyle w:val="112"/>
              <w:ind w:left="-220" w:leftChars="-105" w:right="-101" w:rightChars="-48"/>
              <w:jc w:val="center"/>
              <w:textAlignment w:val="center"/>
              <w:rPr>
                <w:color w:val="000000"/>
                <w:sz w:val="21"/>
                <w:szCs w:val="21"/>
              </w:rPr>
            </w:pPr>
            <w:r>
              <w:rPr>
                <w:rFonts w:hint="eastAsia"/>
                <w:color w:val="000000"/>
                <w:sz w:val="21"/>
                <w:szCs w:val="21"/>
              </w:rPr>
              <w:t>（以N计）</w:t>
            </w:r>
          </w:p>
        </w:tc>
        <w:tc>
          <w:tcPr>
            <w:tcW w:w="933" w:type="pct"/>
            <w:vMerge w:val="continue"/>
            <w:vAlign w:val="center"/>
          </w:tcPr>
          <w:p>
            <w:pPr>
              <w:pStyle w:val="112"/>
              <w:jc w:val="center"/>
              <w:textAlignment w:val="center"/>
              <w:rPr>
                <w:color w:val="000000"/>
                <w:sz w:val="21"/>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0.2mg/L</w:t>
            </w:r>
          </w:p>
        </w:tc>
        <w:tc>
          <w:tcPr>
            <w:tcW w:w="2100" w:type="pct"/>
            <w:vAlign w:val="center"/>
          </w:tcPr>
          <w:p>
            <w:pPr>
              <w:pStyle w:val="112"/>
              <w:jc w:val="center"/>
              <w:textAlignment w:val="center"/>
              <w:rPr>
                <w:color w:val="000000"/>
                <w:sz w:val="21"/>
                <w:szCs w:val="21"/>
              </w:rPr>
            </w:pPr>
            <w:r>
              <w:rPr>
                <w:rFonts w:hint="eastAsia"/>
                <w:color w:val="000000"/>
                <w:sz w:val="21"/>
                <w:szCs w:val="21"/>
              </w:rPr>
              <w:t>《生活饮用水标准检验方法 无机非金属指标》5.2紫外分光光度法</w:t>
            </w:r>
            <w:r>
              <w:rPr>
                <w:color w:val="000000"/>
                <w:sz w:val="21"/>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4</w:t>
            </w:r>
          </w:p>
        </w:tc>
        <w:tc>
          <w:tcPr>
            <w:tcW w:w="772" w:type="pct"/>
            <w:vAlign w:val="center"/>
          </w:tcPr>
          <w:p>
            <w:pPr>
              <w:pStyle w:val="112"/>
              <w:ind w:firstLine="45"/>
              <w:jc w:val="center"/>
              <w:textAlignment w:val="center"/>
              <w:rPr>
                <w:rFonts w:hAnsi="宋体"/>
                <w:color w:val="000000"/>
                <w:sz w:val="21"/>
                <w:szCs w:val="21"/>
              </w:rPr>
            </w:pPr>
            <w:r>
              <w:rPr>
                <w:rFonts w:hint="eastAsia" w:hAnsi="宋体"/>
                <w:color w:val="000000"/>
                <w:sz w:val="21"/>
                <w:szCs w:val="21"/>
              </w:rPr>
              <w:t>亚硝酸盐</w:t>
            </w:r>
          </w:p>
          <w:p>
            <w:pPr>
              <w:pStyle w:val="112"/>
              <w:ind w:firstLine="45"/>
              <w:jc w:val="center"/>
              <w:textAlignment w:val="center"/>
              <w:rPr>
                <w:rFonts w:hAnsi="宋体"/>
                <w:color w:val="000000"/>
                <w:sz w:val="21"/>
                <w:szCs w:val="21"/>
              </w:rPr>
            </w:pPr>
            <w:r>
              <w:rPr>
                <w:rFonts w:hint="eastAsia"/>
                <w:color w:val="000000"/>
                <w:sz w:val="21"/>
                <w:szCs w:val="21"/>
              </w:rPr>
              <w:t>（以N计）</w:t>
            </w:r>
          </w:p>
        </w:tc>
        <w:tc>
          <w:tcPr>
            <w:tcW w:w="933" w:type="pct"/>
            <w:vMerge w:val="continue"/>
            <w:vAlign w:val="center"/>
          </w:tcPr>
          <w:p>
            <w:pPr>
              <w:pStyle w:val="112"/>
              <w:jc w:val="center"/>
              <w:textAlignment w:val="center"/>
              <w:rPr>
                <w:color w:val="000000"/>
                <w:sz w:val="21"/>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0.001</w:t>
            </w:r>
            <w:r>
              <w:rPr>
                <w:color w:val="000000"/>
                <w:sz w:val="21"/>
                <w:szCs w:val="21"/>
              </w:rPr>
              <w:t>mg/L</w:t>
            </w:r>
          </w:p>
        </w:tc>
        <w:tc>
          <w:tcPr>
            <w:tcW w:w="2100" w:type="pct"/>
            <w:vAlign w:val="center"/>
          </w:tcPr>
          <w:p>
            <w:pPr>
              <w:pStyle w:val="112"/>
              <w:jc w:val="center"/>
              <w:textAlignment w:val="center"/>
              <w:rPr>
                <w:color w:val="000000"/>
                <w:sz w:val="21"/>
                <w:szCs w:val="21"/>
              </w:rPr>
            </w:pPr>
            <w:r>
              <w:rPr>
                <w:rFonts w:hint="eastAsia"/>
                <w:color w:val="000000"/>
                <w:sz w:val="21"/>
                <w:szCs w:val="21"/>
              </w:rPr>
              <w:t>《生活饮用水标准检验方法 无机非金属指标》10.1重氮偶合分光光度法</w:t>
            </w:r>
            <w:r>
              <w:rPr>
                <w:color w:val="000000"/>
                <w:sz w:val="21"/>
                <w:szCs w:val="21"/>
              </w:rPr>
              <w:t>GB/T5750.5-2006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5</w:t>
            </w:r>
          </w:p>
        </w:tc>
        <w:tc>
          <w:tcPr>
            <w:tcW w:w="772" w:type="pct"/>
            <w:vAlign w:val="center"/>
          </w:tcPr>
          <w:p>
            <w:pPr>
              <w:pStyle w:val="112"/>
              <w:ind w:firstLine="45"/>
              <w:jc w:val="center"/>
              <w:textAlignment w:val="center"/>
              <w:rPr>
                <w:rFonts w:hAnsi="宋体"/>
                <w:color w:val="000000"/>
                <w:sz w:val="21"/>
                <w:szCs w:val="21"/>
              </w:rPr>
            </w:pPr>
            <w:r>
              <w:rPr>
                <w:rFonts w:hint="eastAsia" w:hAnsi="宋体"/>
                <w:color w:val="000000"/>
                <w:sz w:val="21"/>
                <w:szCs w:val="21"/>
              </w:rPr>
              <w:t>挥发酚</w:t>
            </w:r>
          </w:p>
        </w:tc>
        <w:tc>
          <w:tcPr>
            <w:tcW w:w="933" w:type="pct"/>
            <w:vMerge w:val="continue"/>
            <w:vAlign w:val="center"/>
          </w:tcPr>
          <w:p>
            <w:pPr>
              <w:pStyle w:val="112"/>
              <w:jc w:val="center"/>
              <w:textAlignment w:val="center"/>
              <w:rPr>
                <w:rFonts w:hAnsi="宋体"/>
                <w:color w:val="000000"/>
                <w:sz w:val="21"/>
                <w:szCs w:val="21"/>
              </w:rPr>
            </w:pPr>
          </w:p>
        </w:tc>
        <w:tc>
          <w:tcPr>
            <w:tcW w:w="636" w:type="pct"/>
            <w:vAlign w:val="center"/>
          </w:tcPr>
          <w:p>
            <w:pPr>
              <w:autoSpaceDE w:val="0"/>
              <w:autoSpaceDN w:val="0"/>
              <w:jc w:val="center"/>
              <w:rPr>
                <w:color w:val="000000"/>
                <w:szCs w:val="21"/>
              </w:rPr>
            </w:pPr>
            <w:r>
              <w:rPr>
                <w:color w:val="000000"/>
                <w:szCs w:val="21"/>
              </w:rPr>
              <w:t>0.002mg/L</w:t>
            </w:r>
          </w:p>
        </w:tc>
        <w:tc>
          <w:tcPr>
            <w:tcW w:w="2100" w:type="pct"/>
            <w:vAlign w:val="center"/>
          </w:tcPr>
          <w:p>
            <w:pPr>
              <w:jc w:val="center"/>
              <w:rPr>
                <w:color w:val="000000"/>
                <w:szCs w:val="21"/>
              </w:rPr>
            </w:pPr>
            <w:r>
              <w:rPr>
                <w:rFonts w:hint="eastAsia"/>
                <w:color w:val="000000"/>
                <w:szCs w:val="21"/>
              </w:rPr>
              <w:t>《生活饮用水标准检验方法 感官性状和物理指标》9.1-4氨氮安替吡啉三氯甲烷萃取分光光度法</w:t>
            </w:r>
            <w:r>
              <w:rPr>
                <w:color w:val="000000"/>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3"/>
              <w:spacing w:line="240" w:lineRule="auto"/>
              <w:jc w:val="center"/>
              <w:textAlignment w:val="center"/>
              <w:rPr>
                <w:color w:val="000000"/>
                <w:sz w:val="21"/>
                <w:szCs w:val="21"/>
              </w:rPr>
            </w:pPr>
          </w:p>
        </w:tc>
        <w:tc>
          <w:tcPr>
            <w:tcW w:w="306" w:type="pct"/>
            <w:vAlign w:val="center"/>
          </w:tcPr>
          <w:p>
            <w:pPr>
              <w:pStyle w:val="113"/>
              <w:spacing w:line="240" w:lineRule="auto"/>
              <w:jc w:val="center"/>
              <w:textAlignment w:val="center"/>
              <w:rPr>
                <w:color w:val="000000"/>
                <w:sz w:val="21"/>
                <w:szCs w:val="21"/>
              </w:rPr>
            </w:pPr>
            <w:r>
              <w:rPr>
                <w:color w:val="000000"/>
                <w:sz w:val="21"/>
                <w:szCs w:val="21"/>
              </w:rPr>
              <w:t>6</w:t>
            </w:r>
          </w:p>
        </w:tc>
        <w:tc>
          <w:tcPr>
            <w:tcW w:w="772" w:type="pct"/>
            <w:vAlign w:val="center"/>
          </w:tcPr>
          <w:p>
            <w:pPr>
              <w:widowControl/>
              <w:jc w:val="center"/>
              <w:rPr>
                <w:color w:val="000000"/>
                <w:szCs w:val="21"/>
              </w:rPr>
            </w:pPr>
            <w:r>
              <w:rPr>
                <w:rFonts w:hint="eastAsia"/>
                <w:color w:val="000000"/>
                <w:szCs w:val="21"/>
              </w:rPr>
              <w:t>氰化物</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color w:val="000000"/>
                <w:szCs w:val="21"/>
              </w:rPr>
              <w:t>0.002mg/L</w:t>
            </w:r>
          </w:p>
        </w:tc>
        <w:tc>
          <w:tcPr>
            <w:tcW w:w="2100" w:type="pct"/>
            <w:vAlign w:val="center"/>
          </w:tcPr>
          <w:p>
            <w:pPr>
              <w:jc w:val="center"/>
              <w:rPr>
                <w:color w:val="000000"/>
                <w:szCs w:val="21"/>
              </w:rPr>
            </w:pPr>
            <w:r>
              <w:rPr>
                <w:rFonts w:hint="eastAsia"/>
                <w:color w:val="000000"/>
                <w:szCs w:val="21"/>
              </w:rPr>
              <w:t>《生活饮用水标准检验方法 无机非金属指标》4.1异烟酸吡唑酮分光光度法</w:t>
            </w:r>
            <w:r>
              <w:rPr>
                <w:color w:val="000000"/>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7</w:t>
            </w:r>
          </w:p>
        </w:tc>
        <w:tc>
          <w:tcPr>
            <w:tcW w:w="772" w:type="pct"/>
            <w:vAlign w:val="center"/>
          </w:tcPr>
          <w:p>
            <w:pPr>
              <w:ind w:left="-111" w:leftChars="-53" w:right="-101" w:rightChars="-48"/>
              <w:jc w:val="center"/>
              <w:rPr>
                <w:color w:val="000000"/>
                <w:szCs w:val="21"/>
              </w:rPr>
            </w:pPr>
            <w:r>
              <w:rPr>
                <w:rFonts w:hint="eastAsia"/>
                <w:color w:val="000000"/>
                <w:szCs w:val="21"/>
              </w:rPr>
              <w:t>砷</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rFonts w:hint="eastAsia"/>
                <w:color w:val="000000"/>
                <w:szCs w:val="21"/>
              </w:rPr>
              <w:t>1u</w:t>
            </w:r>
            <w:r>
              <w:rPr>
                <w:color w:val="000000"/>
                <w:szCs w:val="21"/>
              </w:rPr>
              <w:t>g/L</w:t>
            </w:r>
          </w:p>
        </w:tc>
        <w:tc>
          <w:tcPr>
            <w:tcW w:w="2100" w:type="pct"/>
            <w:vAlign w:val="center"/>
          </w:tcPr>
          <w:p>
            <w:pPr>
              <w:ind w:leftChars="-58" w:hanging="121" w:hangingChars="58"/>
              <w:jc w:val="center"/>
              <w:rPr>
                <w:color w:val="000000"/>
                <w:szCs w:val="21"/>
              </w:rPr>
            </w:pPr>
            <w:r>
              <w:rPr>
                <w:rFonts w:hint="eastAsia"/>
                <w:color w:val="000000"/>
                <w:szCs w:val="21"/>
              </w:rPr>
              <w:t>《生活饮用水标准检验方法 金属指标》6.1氢化原子荧光法</w:t>
            </w:r>
            <w:r>
              <w:rPr>
                <w:color w:val="000000"/>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8</w:t>
            </w:r>
          </w:p>
        </w:tc>
        <w:tc>
          <w:tcPr>
            <w:tcW w:w="772" w:type="pct"/>
            <w:vAlign w:val="center"/>
          </w:tcPr>
          <w:p>
            <w:pPr>
              <w:jc w:val="center"/>
              <w:rPr>
                <w:color w:val="000000"/>
                <w:szCs w:val="21"/>
              </w:rPr>
            </w:pPr>
            <w:r>
              <w:rPr>
                <w:rFonts w:hint="eastAsia"/>
                <w:color w:val="000000"/>
                <w:szCs w:val="21"/>
              </w:rPr>
              <w:t>汞</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rFonts w:hint="eastAsia"/>
                <w:color w:val="000000"/>
                <w:szCs w:val="21"/>
              </w:rPr>
              <w:t>0.1u</w:t>
            </w:r>
            <w:r>
              <w:rPr>
                <w:color w:val="000000"/>
                <w:szCs w:val="21"/>
              </w:rPr>
              <w:t>g/L</w:t>
            </w:r>
          </w:p>
        </w:tc>
        <w:tc>
          <w:tcPr>
            <w:tcW w:w="2100" w:type="pct"/>
            <w:vAlign w:val="center"/>
          </w:tcPr>
          <w:p>
            <w:pPr>
              <w:ind w:leftChars="-58" w:hanging="121" w:hangingChars="58"/>
              <w:jc w:val="center"/>
              <w:rPr>
                <w:color w:val="000000"/>
                <w:szCs w:val="21"/>
              </w:rPr>
            </w:pPr>
            <w:r>
              <w:rPr>
                <w:rFonts w:hint="eastAsia"/>
                <w:color w:val="000000"/>
                <w:szCs w:val="21"/>
              </w:rPr>
              <w:t>《生活饮用水标准检验方法 金属指标》8.1原子荧光法</w:t>
            </w:r>
            <w:r>
              <w:rPr>
                <w:color w:val="000000"/>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9</w:t>
            </w:r>
          </w:p>
        </w:tc>
        <w:tc>
          <w:tcPr>
            <w:tcW w:w="772" w:type="pct"/>
            <w:vAlign w:val="center"/>
          </w:tcPr>
          <w:p>
            <w:pPr>
              <w:jc w:val="center"/>
              <w:rPr>
                <w:color w:val="000000"/>
                <w:szCs w:val="21"/>
              </w:rPr>
            </w:pPr>
            <w:r>
              <w:rPr>
                <w:rFonts w:hint="eastAsia"/>
                <w:color w:val="000000"/>
                <w:szCs w:val="21"/>
              </w:rPr>
              <w:t>六价铬</w:t>
            </w:r>
          </w:p>
        </w:tc>
        <w:tc>
          <w:tcPr>
            <w:tcW w:w="933" w:type="pct"/>
            <w:vMerge w:val="continue"/>
            <w:vAlign w:val="center"/>
          </w:tcPr>
          <w:p>
            <w:pPr>
              <w:ind w:leftChars="-54" w:hanging="113" w:hangingChars="54"/>
              <w:jc w:val="center"/>
              <w:rPr>
                <w:color w:val="000000"/>
                <w:szCs w:val="21"/>
              </w:rPr>
            </w:pPr>
          </w:p>
        </w:tc>
        <w:tc>
          <w:tcPr>
            <w:tcW w:w="636" w:type="pct"/>
            <w:vAlign w:val="center"/>
          </w:tcPr>
          <w:p>
            <w:pPr>
              <w:autoSpaceDE w:val="0"/>
              <w:autoSpaceDN w:val="0"/>
              <w:jc w:val="center"/>
              <w:rPr>
                <w:color w:val="000000"/>
                <w:szCs w:val="21"/>
              </w:rPr>
            </w:pPr>
            <w:r>
              <w:rPr>
                <w:color w:val="000000"/>
                <w:szCs w:val="21"/>
              </w:rPr>
              <w:t>0.0</w:t>
            </w:r>
            <w:r>
              <w:rPr>
                <w:rFonts w:hint="eastAsia"/>
                <w:color w:val="000000"/>
                <w:szCs w:val="21"/>
              </w:rPr>
              <w:t>04</w:t>
            </w:r>
            <w:r>
              <w:rPr>
                <w:color w:val="000000"/>
                <w:szCs w:val="21"/>
              </w:rPr>
              <w:t>mg/L</w:t>
            </w:r>
          </w:p>
        </w:tc>
        <w:tc>
          <w:tcPr>
            <w:tcW w:w="2100" w:type="pct"/>
            <w:vAlign w:val="center"/>
          </w:tcPr>
          <w:p>
            <w:pPr>
              <w:jc w:val="center"/>
              <w:rPr>
                <w:color w:val="000000"/>
                <w:szCs w:val="21"/>
              </w:rPr>
            </w:pPr>
            <w:r>
              <w:rPr>
                <w:rFonts w:hint="eastAsia"/>
                <w:color w:val="000000"/>
                <w:szCs w:val="21"/>
              </w:rPr>
              <w:t>《生活饮用水标准检验方法 金属指标》10.1二苯碳酰二肼分光光度法GB/T5750.6-2006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10</w:t>
            </w:r>
          </w:p>
        </w:tc>
        <w:tc>
          <w:tcPr>
            <w:tcW w:w="772" w:type="pct"/>
            <w:vAlign w:val="center"/>
          </w:tcPr>
          <w:p>
            <w:pPr>
              <w:jc w:val="center"/>
              <w:rPr>
                <w:color w:val="000000"/>
                <w:szCs w:val="21"/>
                <w:vertAlign w:val="subscript"/>
              </w:rPr>
            </w:pPr>
            <w:r>
              <w:rPr>
                <w:rFonts w:hint="eastAsia"/>
                <w:color w:val="000000"/>
                <w:szCs w:val="21"/>
              </w:rPr>
              <w:t>总硬度</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rFonts w:hint="eastAsia"/>
                <w:color w:val="000000"/>
                <w:szCs w:val="21"/>
              </w:rPr>
              <w:t>1.0</w:t>
            </w:r>
            <w:r>
              <w:rPr>
                <w:color w:val="000000"/>
                <w:szCs w:val="21"/>
              </w:rPr>
              <w:t>mg/L</w:t>
            </w:r>
          </w:p>
        </w:tc>
        <w:tc>
          <w:tcPr>
            <w:tcW w:w="2100" w:type="pct"/>
            <w:vAlign w:val="center"/>
          </w:tcPr>
          <w:p>
            <w:pPr>
              <w:jc w:val="center"/>
              <w:rPr>
                <w:color w:val="000000"/>
                <w:szCs w:val="21"/>
              </w:rPr>
            </w:pPr>
            <w:r>
              <w:rPr>
                <w:rFonts w:hint="eastAsia"/>
                <w:color w:val="000000"/>
                <w:szCs w:val="21"/>
              </w:rPr>
              <w:t>《生活饮用水标准检验方法 感官性状和物理指标》7.1乙二胺四酸二纳滴定法GB/T5750.6-2006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11</w:t>
            </w:r>
          </w:p>
        </w:tc>
        <w:tc>
          <w:tcPr>
            <w:tcW w:w="772" w:type="pct"/>
            <w:vAlign w:val="center"/>
          </w:tcPr>
          <w:p>
            <w:pPr>
              <w:jc w:val="center"/>
              <w:rPr>
                <w:color w:val="000000"/>
                <w:szCs w:val="21"/>
              </w:rPr>
            </w:pPr>
            <w:r>
              <w:rPr>
                <w:color w:val="000000"/>
                <w:szCs w:val="21"/>
              </w:rPr>
              <w:t>氟化物</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color w:val="000000"/>
                <w:szCs w:val="21"/>
              </w:rPr>
              <w:t>0.2mg/L</w:t>
            </w:r>
          </w:p>
        </w:tc>
        <w:tc>
          <w:tcPr>
            <w:tcW w:w="2100" w:type="pct"/>
            <w:vAlign w:val="center"/>
          </w:tcPr>
          <w:p>
            <w:pPr>
              <w:jc w:val="center"/>
              <w:rPr>
                <w:color w:val="000000"/>
                <w:szCs w:val="21"/>
              </w:rPr>
            </w:pPr>
            <w:r>
              <w:rPr>
                <w:rFonts w:hint="eastAsia"/>
                <w:color w:val="000000"/>
                <w:szCs w:val="21"/>
              </w:rPr>
              <w:t>《生活饮用水标准检验方法 无机金属指标》3.1离子选择电极法GB/T5750.6-2006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color w:val="000000"/>
                <w:sz w:val="21"/>
                <w:szCs w:val="21"/>
              </w:rPr>
              <w:t>12</w:t>
            </w:r>
          </w:p>
        </w:tc>
        <w:tc>
          <w:tcPr>
            <w:tcW w:w="772" w:type="pct"/>
            <w:vAlign w:val="center"/>
          </w:tcPr>
          <w:p>
            <w:pPr>
              <w:jc w:val="center"/>
              <w:rPr>
                <w:color w:val="000000"/>
                <w:szCs w:val="21"/>
              </w:rPr>
            </w:pPr>
            <w:r>
              <w:rPr>
                <w:rFonts w:hint="eastAsia"/>
                <w:color w:val="000000"/>
                <w:szCs w:val="21"/>
              </w:rPr>
              <w:t>铅</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color w:val="000000"/>
                <w:szCs w:val="21"/>
              </w:rPr>
              <w:t>0.0</w:t>
            </w:r>
            <w:r>
              <w:rPr>
                <w:rFonts w:hint="eastAsia"/>
                <w:color w:val="000000"/>
                <w:szCs w:val="21"/>
              </w:rPr>
              <w:t>025</w:t>
            </w:r>
            <w:r>
              <w:rPr>
                <w:color w:val="000000"/>
                <w:szCs w:val="21"/>
              </w:rPr>
              <w:t>mg/L</w:t>
            </w:r>
          </w:p>
        </w:tc>
        <w:tc>
          <w:tcPr>
            <w:tcW w:w="2100" w:type="pct"/>
            <w:vAlign w:val="center"/>
          </w:tcPr>
          <w:p>
            <w:pPr>
              <w:jc w:val="center"/>
              <w:rPr>
                <w:color w:val="000000"/>
                <w:szCs w:val="21"/>
              </w:rPr>
            </w:pPr>
            <w:r>
              <w:rPr>
                <w:rFonts w:hint="eastAsia"/>
                <w:color w:val="000000"/>
                <w:szCs w:val="21"/>
              </w:rPr>
              <w:t>《生活饮用水标准检验方法 金属标准》11.1无火焰原子吸收分光光度法GB/T5750.6-2006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rFonts w:hint="eastAsia"/>
                <w:color w:val="000000"/>
                <w:sz w:val="21"/>
                <w:szCs w:val="21"/>
              </w:rPr>
              <w:t>13</w:t>
            </w:r>
          </w:p>
        </w:tc>
        <w:tc>
          <w:tcPr>
            <w:tcW w:w="772" w:type="pct"/>
            <w:vAlign w:val="center"/>
          </w:tcPr>
          <w:p>
            <w:pPr>
              <w:pStyle w:val="112"/>
              <w:ind w:firstLine="45"/>
              <w:jc w:val="center"/>
              <w:textAlignment w:val="center"/>
              <w:rPr>
                <w:color w:val="000000"/>
                <w:sz w:val="21"/>
                <w:szCs w:val="21"/>
              </w:rPr>
            </w:pPr>
            <w:r>
              <w:rPr>
                <w:rFonts w:hint="eastAsia" w:hAnsi="宋体"/>
                <w:color w:val="000000"/>
                <w:sz w:val="21"/>
                <w:szCs w:val="21"/>
              </w:rPr>
              <w:t>镉</w:t>
            </w:r>
          </w:p>
        </w:tc>
        <w:tc>
          <w:tcPr>
            <w:tcW w:w="933" w:type="pct"/>
            <w:vMerge w:val="continue"/>
            <w:vAlign w:val="center"/>
          </w:tcPr>
          <w:p>
            <w:pPr>
              <w:ind w:left="-227" w:leftChars="-108" w:right="-97" w:rightChars="-46" w:firstLine="113" w:firstLineChars="54"/>
              <w:jc w:val="center"/>
              <w:rPr>
                <w:color w:val="000000"/>
                <w:szCs w:val="21"/>
              </w:rPr>
            </w:pPr>
          </w:p>
        </w:tc>
        <w:tc>
          <w:tcPr>
            <w:tcW w:w="636" w:type="pct"/>
            <w:vAlign w:val="center"/>
          </w:tcPr>
          <w:p>
            <w:pPr>
              <w:jc w:val="center"/>
              <w:rPr>
                <w:color w:val="000000"/>
                <w:szCs w:val="21"/>
              </w:rPr>
            </w:pPr>
            <w:r>
              <w:rPr>
                <w:rFonts w:hint="eastAsia"/>
                <w:color w:val="000000"/>
                <w:szCs w:val="21"/>
              </w:rPr>
              <w:t>0.0005</w:t>
            </w:r>
            <w:r>
              <w:rPr>
                <w:color w:val="000000"/>
                <w:szCs w:val="21"/>
              </w:rPr>
              <w:t>mg/L</w:t>
            </w:r>
          </w:p>
        </w:tc>
        <w:tc>
          <w:tcPr>
            <w:tcW w:w="2100" w:type="pct"/>
            <w:vAlign w:val="center"/>
          </w:tcPr>
          <w:p>
            <w:pPr>
              <w:ind w:left="204"/>
              <w:jc w:val="center"/>
              <w:rPr>
                <w:color w:val="000000"/>
                <w:szCs w:val="21"/>
              </w:rPr>
            </w:pPr>
            <w:r>
              <w:rPr>
                <w:rFonts w:hint="eastAsia"/>
                <w:color w:val="000000"/>
                <w:szCs w:val="21"/>
              </w:rPr>
              <w:t>《生活饮用水标准检验方法 金属标准》9.1无火焰原子吸收分光光度法GB/T5750.6-2006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rFonts w:hint="eastAsia"/>
                <w:color w:val="000000"/>
                <w:sz w:val="21"/>
                <w:szCs w:val="21"/>
              </w:rPr>
              <w:t>14</w:t>
            </w:r>
          </w:p>
        </w:tc>
        <w:tc>
          <w:tcPr>
            <w:tcW w:w="772" w:type="pct"/>
            <w:vAlign w:val="center"/>
          </w:tcPr>
          <w:p>
            <w:pPr>
              <w:pStyle w:val="112"/>
              <w:ind w:firstLine="45"/>
              <w:jc w:val="center"/>
              <w:textAlignment w:val="center"/>
              <w:rPr>
                <w:color w:val="000000"/>
                <w:sz w:val="21"/>
                <w:szCs w:val="21"/>
              </w:rPr>
            </w:pPr>
            <w:r>
              <w:rPr>
                <w:rFonts w:hint="eastAsia" w:hAnsi="宋体"/>
                <w:color w:val="000000"/>
                <w:sz w:val="21"/>
                <w:szCs w:val="21"/>
              </w:rPr>
              <w:t>铁</w:t>
            </w:r>
          </w:p>
        </w:tc>
        <w:tc>
          <w:tcPr>
            <w:tcW w:w="933" w:type="pct"/>
            <w:vMerge w:val="continue"/>
            <w:vAlign w:val="center"/>
          </w:tcPr>
          <w:p>
            <w:pPr>
              <w:jc w:val="center"/>
              <w:rPr>
                <w:color w:val="000000"/>
                <w:szCs w:val="21"/>
              </w:rPr>
            </w:pPr>
          </w:p>
        </w:tc>
        <w:tc>
          <w:tcPr>
            <w:tcW w:w="636" w:type="pct"/>
            <w:vAlign w:val="center"/>
          </w:tcPr>
          <w:p>
            <w:pPr>
              <w:jc w:val="center"/>
              <w:rPr>
                <w:color w:val="000000"/>
                <w:szCs w:val="21"/>
              </w:rPr>
            </w:pPr>
            <w:r>
              <w:rPr>
                <w:color w:val="000000"/>
                <w:szCs w:val="21"/>
              </w:rPr>
              <w:t>0.0</w:t>
            </w:r>
            <w:r>
              <w:rPr>
                <w:rFonts w:hint="eastAsia"/>
                <w:color w:val="000000"/>
                <w:szCs w:val="21"/>
              </w:rPr>
              <w:t>3</w:t>
            </w:r>
            <w:r>
              <w:rPr>
                <w:color w:val="000000"/>
                <w:szCs w:val="21"/>
              </w:rPr>
              <w:t>mg/L</w:t>
            </w:r>
          </w:p>
        </w:tc>
        <w:tc>
          <w:tcPr>
            <w:tcW w:w="2100" w:type="pct"/>
            <w:vMerge w:val="restart"/>
            <w:vAlign w:val="center"/>
          </w:tcPr>
          <w:p>
            <w:pPr>
              <w:widowControl/>
              <w:jc w:val="center"/>
              <w:rPr>
                <w:color w:val="000000"/>
                <w:szCs w:val="21"/>
              </w:rPr>
            </w:pPr>
            <w:r>
              <w:rPr>
                <w:rFonts w:hint="eastAsia"/>
                <w:color w:val="000000"/>
                <w:szCs w:val="21"/>
              </w:rPr>
              <w:t xml:space="preserve"> 《生活饮用水标准检验方法 金属标准》2.1原子吸收分光光度法GB/T5750.6-2006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rFonts w:hint="eastAsia"/>
                <w:color w:val="000000"/>
                <w:sz w:val="21"/>
                <w:szCs w:val="21"/>
              </w:rPr>
              <w:t>15</w:t>
            </w:r>
          </w:p>
        </w:tc>
        <w:tc>
          <w:tcPr>
            <w:tcW w:w="772" w:type="pct"/>
            <w:vAlign w:val="center"/>
          </w:tcPr>
          <w:p>
            <w:pPr>
              <w:pStyle w:val="112"/>
              <w:ind w:firstLine="45"/>
              <w:jc w:val="center"/>
              <w:textAlignment w:val="center"/>
              <w:rPr>
                <w:rFonts w:hAnsi="宋体"/>
                <w:color w:val="000000"/>
                <w:sz w:val="21"/>
                <w:szCs w:val="21"/>
              </w:rPr>
            </w:pPr>
            <w:r>
              <w:rPr>
                <w:color w:val="000000"/>
                <w:szCs w:val="21"/>
              </w:rPr>
              <w:t>锰</w:t>
            </w:r>
          </w:p>
        </w:tc>
        <w:tc>
          <w:tcPr>
            <w:tcW w:w="933" w:type="pct"/>
            <w:vMerge w:val="continue"/>
            <w:vAlign w:val="center"/>
          </w:tcPr>
          <w:p>
            <w:pPr>
              <w:jc w:val="center"/>
              <w:rPr>
                <w:rFonts w:hAnsi="宋体"/>
                <w:color w:val="000000"/>
                <w:szCs w:val="21"/>
              </w:rPr>
            </w:pPr>
          </w:p>
        </w:tc>
        <w:tc>
          <w:tcPr>
            <w:tcW w:w="636" w:type="pct"/>
            <w:vAlign w:val="center"/>
          </w:tcPr>
          <w:p>
            <w:pPr>
              <w:autoSpaceDE w:val="0"/>
              <w:autoSpaceDN w:val="0"/>
              <w:jc w:val="center"/>
              <w:rPr>
                <w:color w:val="000000"/>
                <w:szCs w:val="21"/>
              </w:rPr>
            </w:pPr>
            <w:r>
              <w:rPr>
                <w:rFonts w:hint="eastAsia"/>
                <w:color w:val="000000"/>
                <w:szCs w:val="21"/>
              </w:rPr>
              <w:t>0.1m</w:t>
            </w:r>
            <w:r>
              <w:rPr>
                <w:color w:val="000000"/>
                <w:szCs w:val="21"/>
              </w:rPr>
              <w:t>g/L</w:t>
            </w:r>
          </w:p>
        </w:tc>
        <w:tc>
          <w:tcPr>
            <w:tcW w:w="2100" w:type="pct"/>
            <w:vMerge w:val="continue"/>
            <w:vAlign w:val="center"/>
          </w:tcPr>
          <w:p>
            <w:pPr>
              <w:widowControl/>
              <w:jc w:val="center"/>
              <w:rPr>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rFonts w:hint="eastAsia"/>
                <w:color w:val="000000"/>
                <w:sz w:val="21"/>
                <w:szCs w:val="21"/>
              </w:rPr>
              <w:t>16</w:t>
            </w:r>
          </w:p>
        </w:tc>
        <w:tc>
          <w:tcPr>
            <w:tcW w:w="772" w:type="pct"/>
            <w:vAlign w:val="center"/>
          </w:tcPr>
          <w:p>
            <w:pPr>
              <w:jc w:val="center"/>
              <w:rPr>
                <w:color w:val="000000"/>
                <w:szCs w:val="21"/>
              </w:rPr>
            </w:pPr>
            <w:r>
              <w:rPr>
                <w:rFonts w:hint="eastAsia"/>
                <w:color w:val="000000"/>
                <w:szCs w:val="21"/>
              </w:rPr>
              <w:t>溶解性总固体</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rFonts w:hint="eastAsia"/>
                <w:color w:val="000000"/>
                <w:szCs w:val="21"/>
              </w:rPr>
              <w:t>1.0</w:t>
            </w:r>
            <w:r>
              <w:rPr>
                <w:color w:val="000000"/>
                <w:szCs w:val="21"/>
              </w:rPr>
              <w:t>mg/L</w:t>
            </w:r>
          </w:p>
        </w:tc>
        <w:tc>
          <w:tcPr>
            <w:tcW w:w="2100" w:type="pct"/>
            <w:vAlign w:val="center"/>
          </w:tcPr>
          <w:p>
            <w:pPr>
              <w:jc w:val="center"/>
              <w:rPr>
                <w:color w:val="000000"/>
                <w:szCs w:val="21"/>
              </w:rPr>
            </w:pPr>
            <w:r>
              <w:rPr>
                <w:rFonts w:hint="eastAsia"/>
                <w:color w:val="000000"/>
                <w:szCs w:val="21"/>
              </w:rPr>
              <w:t>《生活饮用水标准检验方法 感官性状和物理指标》8.1称量法GB/T5750.6-2006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rFonts w:hint="eastAsia"/>
                <w:color w:val="000000"/>
                <w:sz w:val="21"/>
                <w:szCs w:val="21"/>
              </w:rPr>
              <w:t>17</w:t>
            </w:r>
          </w:p>
        </w:tc>
        <w:tc>
          <w:tcPr>
            <w:tcW w:w="772" w:type="pct"/>
            <w:vAlign w:val="center"/>
          </w:tcPr>
          <w:p>
            <w:pPr>
              <w:widowControl/>
              <w:jc w:val="center"/>
              <w:rPr>
                <w:color w:val="000000"/>
                <w:szCs w:val="21"/>
              </w:rPr>
            </w:pPr>
            <w:r>
              <w:rPr>
                <w:rFonts w:hint="eastAsia"/>
                <w:color w:val="000000"/>
                <w:szCs w:val="21"/>
              </w:rPr>
              <w:t>耗氧量</w:t>
            </w:r>
          </w:p>
        </w:tc>
        <w:tc>
          <w:tcPr>
            <w:tcW w:w="933" w:type="pct"/>
            <w:vMerge w:val="continue"/>
            <w:vAlign w:val="center"/>
          </w:tcPr>
          <w:p>
            <w:pPr>
              <w:widowControl/>
              <w:tabs>
                <w:tab w:val="left" w:pos="2226"/>
              </w:tabs>
              <w:ind w:left="-115" w:leftChars="-55" w:right="-97" w:rightChars="-46" w:firstLine="1"/>
              <w:jc w:val="center"/>
              <w:rPr>
                <w:color w:val="000000"/>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0.5</w:t>
            </w:r>
            <w:r>
              <w:rPr>
                <w:color w:val="000000"/>
                <w:sz w:val="21"/>
                <w:szCs w:val="21"/>
              </w:rPr>
              <w:t>mg/L</w:t>
            </w:r>
          </w:p>
        </w:tc>
        <w:tc>
          <w:tcPr>
            <w:tcW w:w="2100" w:type="pct"/>
            <w:vAlign w:val="center"/>
          </w:tcPr>
          <w:p>
            <w:pPr>
              <w:pStyle w:val="112"/>
              <w:jc w:val="center"/>
              <w:textAlignment w:val="center"/>
              <w:rPr>
                <w:color w:val="000000"/>
                <w:sz w:val="21"/>
                <w:szCs w:val="21"/>
              </w:rPr>
            </w:pPr>
            <w:r>
              <w:rPr>
                <w:rFonts w:hint="eastAsia"/>
                <w:color w:val="000000"/>
                <w:szCs w:val="21"/>
              </w:rPr>
              <w:t>酸性高锰酸钾滴定法GB/T5750.6-2006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jc w:val="center"/>
              <w:rPr>
                <w:color w:val="000000"/>
              </w:rPr>
            </w:pPr>
            <w:r>
              <w:rPr>
                <w:rFonts w:hint="eastAsia"/>
                <w:color w:val="000000"/>
              </w:rPr>
              <w:t>18</w:t>
            </w:r>
          </w:p>
        </w:tc>
        <w:tc>
          <w:tcPr>
            <w:tcW w:w="772" w:type="pct"/>
            <w:vAlign w:val="center"/>
          </w:tcPr>
          <w:p>
            <w:pPr>
              <w:jc w:val="center"/>
              <w:rPr>
                <w:color w:val="000000"/>
                <w:szCs w:val="21"/>
              </w:rPr>
            </w:pPr>
            <w:r>
              <w:rPr>
                <w:rFonts w:hint="eastAsia"/>
                <w:color w:val="000000"/>
                <w:szCs w:val="21"/>
              </w:rPr>
              <w:t>总大肠菌群</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rFonts w:hint="eastAsia"/>
                <w:color w:val="000000"/>
                <w:szCs w:val="21"/>
              </w:rPr>
              <w:t>-</w:t>
            </w:r>
          </w:p>
        </w:tc>
        <w:tc>
          <w:tcPr>
            <w:tcW w:w="2100" w:type="pct"/>
            <w:vAlign w:val="center"/>
          </w:tcPr>
          <w:p>
            <w:pPr>
              <w:jc w:val="center"/>
              <w:rPr>
                <w:color w:val="000000"/>
                <w:szCs w:val="21"/>
              </w:rPr>
            </w:pPr>
            <w:r>
              <w:rPr>
                <w:rFonts w:hint="eastAsia"/>
                <w:color w:val="000000"/>
                <w:szCs w:val="21"/>
              </w:rPr>
              <w:t>《生活饮用水标准检验法 微生物指标》2.2多管发酵法 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pStyle w:val="112"/>
              <w:jc w:val="center"/>
              <w:textAlignment w:val="center"/>
              <w:rPr>
                <w:color w:val="000000"/>
                <w:sz w:val="21"/>
                <w:szCs w:val="21"/>
              </w:rPr>
            </w:pPr>
            <w:r>
              <w:rPr>
                <w:rFonts w:hint="eastAsia"/>
                <w:color w:val="000000"/>
                <w:sz w:val="21"/>
                <w:szCs w:val="21"/>
              </w:rPr>
              <w:t>19</w:t>
            </w:r>
          </w:p>
        </w:tc>
        <w:tc>
          <w:tcPr>
            <w:tcW w:w="772" w:type="pct"/>
            <w:vAlign w:val="center"/>
          </w:tcPr>
          <w:p>
            <w:pPr>
              <w:jc w:val="center"/>
              <w:rPr>
                <w:color w:val="000000"/>
                <w:szCs w:val="21"/>
              </w:rPr>
            </w:pPr>
            <w:r>
              <w:rPr>
                <w:rFonts w:hint="eastAsia"/>
                <w:color w:val="000000"/>
                <w:szCs w:val="21"/>
              </w:rPr>
              <w:t>菌落群数</w:t>
            </w:r>
          </w:p>
        </w:tc>
        <w:tc>
          <w:tcPr>
            <w:tcW w:w="933" w:type="pct"/>
            <w:vMerge w:val="continue"/>
            <w:vAlign w:val="center"/>
          </w:tcPr>
          <w:p>
            <w:pPr>
              <w:jc w:val="center"/>
              <w:rPr>
                <w:color w:val="000000"/>
                <w:szCs w:val="21"/>
              </w:rPr>
            </w:pPr>
          </w:p>
        </w:tc>
        <w:tc>
          <w:tcPr>
            <w:tcW w:w="636" w:type="pct"/>
            <w:vAlign w:val="center"/>
          </w:tcPr>
          <w:p>
            <w:pPr>
              <w:autoSpaceDE w:val="0"/>
              <w:autoSpaceDN w:val="0"/>
              <w:jc w:val="center"/>
              <w:rPr>
                <w:color w:val="000000"/>
                <w:szCs w:val="21"/>
              </w:rPr>
            </w:pPr>
            <w:r>
              <w:rPr>
                <w:rFonts w:hint="eastAsia"/>
                <w:color w:val="000000"/>
                <w:szCs w:val="21"/>
              </w:rPr>
              <w:t>-</w:t>
            </w:r>
          </w:p>
        </w:tc>
        <w:tc>
          <w:tcPr>
            <w:tcW w:w="2100" w:type="pct"/>
            <w:vAlign w:val="center"/>
          </w:tcPr>
          <w:p>
            <w:pPr>
              <w:jc w:val="center"/>
              <w:rPr>
                <w:color w:val="000000"/>
                <w:szCs w:val="21"/>
              </w:rPr>
            </w:pPr>
            <w:r>
              <w:rPr>
                <w:rFonts w:hint="eastAsia"/>
                <w:color w:val="000000"/>
                <w:szCs w:val="21"/>
              </w:rPr>
              <w:t>《生活饮用水标准检验法 微生物指标》1.1平器皿计数法 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jc w:val="center"/>
              <w:rPr>
                <w:color w:val="000000"/>
              </w:rPr>
            </w:pPr>
            <w:r>
              <w:rPr>
                <w:rFonts w:hint="eastAsia"/>
                <w:color w:val="000000"/>
              </w:rPr>
              <w:t>20</w:t>
            </w:r>
          </w:p>
        </w:tc>
        <w:tc>
          <w:tcPr>
            <w:tcW w:w="772" w:type="pct"/>
            <w:vAlign w:val="center"/>
          </w:tcPr>
          <w:p>
            <w:pPr>
              <w:pStyle w:val="112"/>
              <w:ind w:firstLine="45"/>
              <w:jc w:val="center"/>
              <w:textAlignment w:val="center"/>
              <w:rPr>
                <w:color w:val="000000"/>
                <w:sz w:val="21"/>
                <w:szCs w:val="21"/>
              </w:rPr>
            </w:pPr>
            <w:r>
              <w:rPr>
                <w:rFonts w:hint="eastAsia" w:hAnsi="宋体"/>
                <w:color w:val="000000"/>
                <w:sz w:val="21"/>
                <w:szCs w:val="21"/>
              </w:rPr>
              <w:t>硫酸盐</w:t>
            </w:r>
          </w:p>
        </w:tc>
        <w:tc>
          <w:tcPr>
            <w:tcW w:w="933" w:type="pct"/>
            <w:vMerge w:val="continue"/>
            <w:vAlign w:val="center"/>
          </w:tcPr>
          <w:p>
            <w:pPr>
              <w:pStyle w:val="112"/>
              <w:jc w:val="center"/>
              <w:textAlignment w:val="center"/>
              <w:rPr>
                <w:color w:val="000000"/>
                <w:sz w:val="21"/>
                <w:szCs w:val="21"/>
              </w:rPr>
            </w:pPr>
          </w:p>
        </w:tc>
        <w:tc>
          <w:tcPr>
            <w:tcW w:w="636" w:type="pct"/>
            <w:vAlign w:val="center"/>
          </w:tcPr>
          <w:p>
            <w:pPr>
              <w:pStyle w:val="112"/>
              <w:jc w:val="center"/>
              <w:textAlignment w:val="center"/>
              <w:rPr>
                <w:color w:val="000000"/>
                <w:sz w:val="21"/>
                <w:szCs w:val="21"/>
              </w:rPr>
            </w:pPr>
            <w:r>
              <w:rPr>
                <w:color w:val="000000"/>
                <w:sz w:val="21"/>
                <w:szCs w:val="21"/>
              </w:rPr>
              <w:t>－</w:t>
            </w:r>
          </w:p>
        </w:tc>
        <w:tc>
          <w:tcPr>
            <w:tcW w:w="2100" w:type="pct"/>
            <w:vAlign w:val="center"/>
          </w:tcPr>
          <w:p>
            <w:pPr>
              <w:pStyle w:val="112"/>
              <w:ind w:left="150"/>
              <w:jc w:val="center"/>
              <w:textAlignment w:val="center"/>
              <w:rPr>
                <w:color w:val="000000"/>
                <w:sz w:val="21"/>
                <w:szCs w:val="21"/>
              </w:rPr>
            </w:pPr>
            <w:r>
              <w:rPr>
                <w:rFonts w:hint="eastAsia"/>
                <w:color w:val="000000"/>
                <w:szCs w:val="21"/>
              </w:rPr>
              <w:t>《生活饮用水标准检验法 无机非金属指标》1.3铬酸钡分光光度法GB/T5750.6-2006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jc w:val="center"/>
              <w:rPr>
                <w:color w:val="000000"/>
              </w:rPr>
            </w:pPr>
            <w:r>
              <w:rPr>
                <w:rFonts w:hint="eastAsia"/>
                <w:color w:val="000000"/>
              </w:rPr>
              <w:t>21</w:t>
            </w:r>
          </w:p>
        </w:tc>
        <w:tc>
          <w:tcPr>
            <w:tcW w:w="772" w:type="pct"/>
            <w:vAlign w:val="center"/>
          </w:tcPr>
          <w:p>
            <w:pPr>
              <w:jc w:val="center"/>
              <w:rPr>
                <w:color w:val="000000"/>
              </w:rPr>
            </w:pPr>
            <w:r>
              <w:rPr>
                <w:rFonts w:hint="eastAsia"/>
                <w:color w:val="000000"/>
              </w:rPr>
              <w:t>氯化物</w:t>
            </w:r>
          </w:p>
        </w:tc>
        <w:tc>
          <w:tcPr>
            <w:tcW w:w="933" w:type="pct"/>
            <w:vMerge w:val="continue"/>
            <w:vAlign w:val="center"/>
          </w:tcPr>
          <w:p>
            <w:pPr>
              <w:jc w:val="center"/>
              <w:rPr>
                <w:color w:val="000000"/>
              </w:rPr>
            </w:pPr>
          </w:p>
        </w:tc>
        <w:tc>
          <w:tcPr>
            <w:tcW w:w="636" w:type="pct"/>
            <w:vAlign w:val="center"/>
          </w:tcPr>
          <w:p>
            <w:pPr>
              <w:jc w:val="center"/>
              <w:rPr>
                <w:color w:val="000000"/>
              </w:rPr>
            </w:pPr>
            <w:r>
              <w:rPr>
                <w:rFonts w:hint="eastAsia"/>
                <w:color w:val="000000"/>
              </w:rPr>
              <w:t>1.0mg/L</w:t>
            </w:r>
          </w:p>
        </w:tc>
        <w:tc>
          <w:tcPr>
            <w:tcW w:w="2100" w:type="pct"/>
            <w:vAlign w:val="center"/>
          </w:tcPr>
          <w:p>
            <w:pPr>
              <w:jc w:val="center"/>
              <w:rPr>
                <w:color w:val="000000"/>
              </w:rPr>
            </w:pPr>
            <w:r>
              <w:rPr>
                <w:rFonts w:hint="eastAsia"/>
                <w:color w:val="000000"/>
                <w:szCs w:val="21"/>
              </w:rPr>
              <w:t>《生活饮用水标准检验法 无机非金属指标》2.1硝酸银容量法GB/T5750.6-2006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jc w:val="center"/>
              <w:rPr>
                <w:color w:val="000000"/>
              </w:rPr>
            </w:pPr>
            <w:r>
              <w:rPr>
                <w:rFonts w:hint="eastAsia"/>
                <w:color w:val="000000"/>
              </w:rPr>
              <w:t>22</w:t>
            </w:r>
          </w:p>
        </w:tc>
        <w:tc>
          <w:tcPr>
            <w:tcW w:w="772" w:type="pct"/>
            <w:vAlign w:val="center"/>
          </w:tcPr>
          <w:p>
            <w:pPr>
              <w:pStyle w:val="112"/>
              <w:ind w:firstLine="45"/>
              <w:jc w:val="center"/>
              <w:textAlignment w:val="center"/>
              <w:rPr>
                <w:rFonts w:hAnsi="宋体"/>
                <w:color w:val="000000"/>
                <w:sz w:val="21"/>
                <w:szCs w:val="21"/>
              </w:rPr>
            </w:pPr>
            <w:r>
              <w:rPr>
                <w:rFonts w:hint="eastAsia"/>
                <w:color w:val="000000"/>
                <w:szCs w:val="21"/>
              </w:rPr>
              <w:t>钙离子</w:t>
            </w:r>
          </w:p>
        </w:tc>
        <w:tc>
          <w:tcPr>
            <w:tcW w:w="933" w:type="pct"/>
            <w:vMerge w:val="continue"/>
            <w:vAlign w:val="center"/>
          </w:tcPr>
          <w:p>
            <w:pPr>
              <w:pStyle w:val="112"/>
              <w:jc w:val="center"/>
              <w:textAlignment w:val="center"/>
              <w:rPr>
                <w:rFonts w:hAnsi="宋体"/>
                <w:color w:val="000000"/>
                <w:sz w:val="21"/>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0.12mg/L</w:t>
            </w:r>
          </w:p>
        </w:tc>
        <w:tc>
          <w:tcPr>
            <w:tcW w:w="2100" w:type="pct"/>
            <w:vMerge w:val="restart"/>
            <w:vAlign w:val="center"/>
          </w:tcPr>
          <w:p>
            <w:pPr>
              <w:pStyle w:val="112"/>
              <w:ind w:left="150"/>
              <w:jc w:val="center"/>
              <w:textAlignment w:val="center"/>
              <w:rPr>
                <w:color w:val="000000"/>
                <w:sz w:val="21"/>
                <w:szCs w:val="21"/>
              </w:rPr>
            </w:pPr>
            <w:r>
              <w:rPr>
                <w:rFonts w:hint="eastAsia"/>
                <w:color w:val="000000"/>
                <w:sz w:val="21"/>
                <w:szCs w:val="21"/>
              </w:rPr>
              <w:t>《水质可溶性阳离子（K</w:t>
            </w:r>
            <w:r>
              <w:rPr>
                <w:rFonts w:hint="eastAsia"/>
                <w:color w:val="000000"/>
                <w:sz w:val="21"/>
                <w:szCs w:val="21"/>
                <w:vertAlign w:val="superscript"/>
              </w:rPr>
              <w:t>-</w:t>
            </w:r>
            <w:r>
              <w:rPr>
                <w:rFonts w:hint="eastAsia"/>
                <w:color w:val="000000"/>
                <w:sz w:val="21"/>
                <w:szCs w:val="21"/>
              </w:rPr>
              <w:t>、Na</w:t>
            </w:r>
            <w:r>
              <w:rPr>
                <w:rFonts w:hint="eastAsia"/>
                <w:color w:val="000000"/>
                <w:sz w:val="21"/>
                <w:szCs w:val="21"/>
                <w:vertAlign w:val="superscript"/>
              </w:rPr>
              <w:t>+</w:t>
            </w:r>
            <w:r>
              <w:rPr>
                <w:rFonts w:hint="eastAsia"/>
                <w:color w:val="000000"/>
                <w:sz w:val="21"/>
                <w:szCs w:val="21"/>
              </w:rPr>
              <w:t>、Ca</w:t>
            </w:r>
            <w:r>
              <w:rPr>
                <w:rFonts w:hint="eastAsia"/>
                <w:color w:val="000000"/>
                <w:sz w:val="21"/>
                <w:szCs w:val="21"/>
                <w:vertAlign w:val="superscript"/>
              </w:rPr>
              <w:t>2+</w:t>
            </w:r>
            <w:r>
              <w:rPr>
                <w:rFonts w:hint="eastAsia"/>
                <w:color w:val="000000"/>
                <w:sz w:val="21"/>
                <w:szCs w:val="21"/>
              </w:rPr>
              <w:t>、Mg</w:t>
            </w:r>
            <w:r>
              <w:rPr>
                <w:rFonts w:hint="eastAsia"/>
                <w:color w:val="000000"/>
                <w:sz w:val="21"/>
                <w:szCs w:val="21"/>
                <w:vertAlign w:val="superscript"/>
              </w:rPr>
              <w:t>2+</w:t>
            </w:r>
            <w:r>
              <w:rPr>
                <w:rFonts w:hint="eastAsia"/>
                <w:color w:val="000000"/>
                <w:sz w:val="21"/>
                <w:szCs w:val="21"/>
              </w:rPr>
              <w:t>）的测定 离子色谱法》HJ812-2016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jc w:val="center"/>
              <w:rPr>
                <w:color w:val="000000"/>
              </w:rPr>
            </w:pPr>
            <w:r>
              <w:rPr>
                <w:rFonts w:hint="eastAsia"/>
                <w:color w:val="000000"/>
              </w:rPr>
              <w:t>23</w:t>
            </w:r>
          </w:p>
        </w:tc>
        <w:tc>
          <w:tcPr>
            <w:tcW w:w="772" w:type="pct"/>
            <w:vAlign w:val="center"/>
          </w:tcPr>
          <w:p>
            <w:pPr>
              <w:pStyle w:val="112"/>
              <w:ind w:firstLine="45"/>
              <w:jc w:val="center"/>
              <w:textAlignment w:val="center"/>
              <w:rPr>
                <w:rFonts w:hAnsi="宋体"/>
                <w:color w:val="000000"/>
                <w:sz w:val="21"/>
                <w:szCs w:val="21"/>
                <w:vertAlign w:val="superscript"/>
              </w:rPr>
            </w:pPr>
            <w:r>
              <w:rPr>
                <w:rFonts w:hint="eastAsia" w:hAnsi="宋体"/>
                <w:color w:val="000000"/>
                <w:sz w:val="21"/>
                <w:szCs w:val="21"/>
              </w:rPr>
              <w:t>镁离子</w:t>
            </w:r>
          </w:p>
        </w:tc>
        <w:tc>
          <w:tcPr>
            <w:tcW w:w="933" w:type="pct"/>
            <w:vMerge w:val="continue"/>
            <w:vAlign w:val="center"/>
          </w:tcPr>
          <w:p>
            <w:pPr>
              <w:jc w:val="center"/>
              <w:rPr>
                <w:color w:val="000000"/>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0.08</w:t>
            </w:r>
            <w:r>
              <w:rPr>
                <w:color w:val="000000"/>
                <w:szCs w:val="21"/>
              </w:rPr>
              <w:t xml:space="preserve"> mg/L</w:t>
            </w:r>
          </w:p>
        </w:tc>
        <w:tc>
          <w:tcPr>
            <w:tcW w:w="2100" w:type="pct"/>
            <w:vMerge w:val="continue"/>
            <w:vAlign w:val="center"/>
          </w:tcPr>
          <w:p>
            <w:pPr>
              <w:pStyle w:val="112"/>
              <w:ind w:left="150"/>
              <w:jc w:val="center"/>
              <w:textAlignment w:val="center"/>
              <w:rPr>
                <w:color w:val="000000"/>
                <w:sz w:val="21"/>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jc w:val="center"/>
              <w:rPr>
                <w:color w:val="000000"/>
              </w:rPr>
            </w:pPr>
            <w:r>
              <w:rPr>
                <w:rFonts w:hint="eastAsia"/>
                <w:color w:val="000000"/>
              </w:rPr>
              <w:t>24</w:t>
            </w:r>
          </w:p>
        </w:tc>
        <w:tc>
          <w:tcPr>
            <w:tcW w:w="772" w:type="pct"/>
            <w:vAlign w:val="center"/>
          </w:tcPr>
          <w:p>
            <w:pPr>
              <w:pStyle w:val="112"/>
              <w:ind w:firstLine="45"/>
              <w:jc w:val="center"/>
              <w:textAlignment w:val="center"/>
              <w:rPr>
                <w:rFonts w:hAnsi="宋体"/>
                <w:color w:val="000000"/>
                <w:sz w:val="21"/>
                <w:szCs w:val="21"/>
                <w:vertAlign w:val="superscript"/>
              </w:rPr>
            </w:pPr>
            <w:r>
              <w:rPr>
                <w:rFonts w:hint="eastAsia" w:hAnsi="宋体"/>
                <w:color w:val="000000"/>
                <w:sz w:val="21"/>
                <w:szCs w:val="21"/>
              </w:rPr>
              <w:t>钾离子</w:t>
            </w:r>
          </w:p>
        </w:tc>
        <w:tc>
          <w:tcPr>
            <w:tcW w:w="933" w:type="pct"/>
            <w:vMerge w:val="continue"/>
            <w:vAlign w:val="center"/>
          </w:tcPr>
          <w:p>
            <w:pPr>
              <w:jc w:val="center"/>
              <w:rPr>
                <w:color w:val="000000"/>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0.02</w:t>
            </w:r>
            <w:r>
              <w:rPr>
                <w:color w:val="000000"/>
                <w:szCs w:val="21"/>
              </w:rPr>
              <w:t xml:space="preserve"> mg/L</w:t>
            </w:r>
          </w:p>
        </w:tc>
        <w:tc>
          <w:tcPr>
            <w:tcW w:w="2100" w:type="pct"/>
            <w:vMerge w:val="continue"/>
            <w:vAlign w:val="center"/>
          </w:tcPr>
          <w:p>
            <w:pPr>
              <w:pStyle w:val="112"/>
              <w:ind w:left="150"/>
              <w:jc w:val="center"/>
              <w:textAlignment w:val="center"/>
              <w:rPr>
                <w:color w:val="000000"/>
                <w:sz w:val="21"/>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jc w:val="center"/>
              <w:rPr>
                <w:color w:val="000000"/>
              </w:rPr>
            </w:pPr>
            <w:r>
              <w:rPr>
                <w:rFonts w:hint="eastAsia"/>
                <w:color w:val="000000"/>
              </w:rPr>
              <w:t>25</w:t>
            </w:r>
          </w:p>
        </w:tc>
        <w:tc>
          <w:tcPr>
            <w:tcW w:w="772" w:type="pct"/>
            <w:vAlign w:val="center"/>
          </w:tcPr>
          <w:p>
            <w:pPr>
              <w:pStyle w:val="112"/>
              <w:ind w:firstLine="45"/>
              <w:jc w:val="center"/>
              <w:textAlignment w:val="center"/>
              <w:rPr>
                <w:rFonts w:hAnsi="宋体"/>
                <w:color w:val="000000"/>
                <w:sz w:val="21"/>
                <w:szCs w:val="21"/>
              </w:rPr>
            </w:pPr>
            <w:r>
              <w:rPr>
                <w:rFonts w:hint="eastAsia" w:hAnsi="宋体"/>
                <w:color w:val="000000"/>
                <w:sz w:val="21"/>
                <w:szCs w:val="21"/>
              </w:rPr>
              <w:t>钠离子</w:t>
            </w:r>
          </w:p>
        </w:tc>
        <w:tc>
          <w:tcPr>
            <w:tcW w:w="933" w:type="pct"/>
            <w:vMerge w:val="continue"/>
            <w:vAlign w:val="center"/>
          </w:tcPr>
          <w:p>
            <w:pPr>
              <w:jc w:val="center"/>
              <w:rPr>
                <w:color w:val="000000"/>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0.08mg/L</w:t>
            </w:r>
          </w:p>
        </w:tc>
        <w:tc>
          <w:tcPr>
            <w:tcW w:w="2100" w:type="pct"/>
            <w:vMerge w:val="continue"/>
            <w:vAlign w:val="center"/>
          </w:tcPr>
          <w:p>
            <w:pPr>
              <w:pStyle w:val="112"/>
              <w:ind w:left="150"/>
              <w:jc w:val="center"/>
              <w:textAlignment w:val="center"/>
              <w:rPr>
                <w:color w:val="000000"/>
                <w:sz w:val="21"/>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2"/>
              <w:jc w:val="center"/>
              <w:textAlignment w:val="center"/>
              <w:rPr>
                <w:color w:val="000000"/>
                <w:sz w:val="21"/>
                <w:szCs w:val="21"/>
              </w:rPr>
            </w:pPr>
          </w:p>
        </w:tc>
        <w:tc>
          <w:tcPr>
            <w:tcW w:w="306" w:type="pct"/>
            <w:vAlign w:val="center"/>
          </w:tcPr>
          <w:p>
            <w:pPr>
              <w:jc w:val="center"/>
              <w:rPr>
                <w:color w:val="000000"/>
              </w:rPr>
            </w:pPr>
            <w:r>
              <w:rPr>
                <w:rFonts w:hint="eastAsia"/>
                <w:color w:val="000000"/>
              </w:rPr>
              <w:t>26</w:t>
            </w:r>
          </w:p>
        </w:tc>
        <w:tc>
          <w:tcPr>
            <w:tcW w:w="772" w:type="pct"/>
            <w:vAlign w:val="center"/>
          </w:tcPr>
          <w:p>
            <w:pPr>
              <w:pStyle w:val="112"/>
              <w:ind w:firstLine="45"/>
              <w:jc w:val="center"/>
              <w:textAlignment w:val="center"/>
              <w:rPr>
                <w:rFonts w:hAnsi="宋体"/>
                <w:color w:val="000000"/>
                <w:sz w:val="21"/>
                <w:szCs w:val="21"/>
              </w:rPr>
            </w:pPr>
            <w:r>
              <w:rPr>
                <w:rFonts w:hint="eastAsia"/>
                <w:color w:val="000000"/>
                <w:szCs w:val="21"/>
              </w:rPr>
              <w:t>氯离子</w:t>
            </w:r>
          </w:p>
        </w:tc>
        <w:tc>
          <w:tcPr>
            <w:tcW w:w="933" w:type="pct"/>
            <w:vMerge w:val="continue"/>
            <w:vAlign w:val="center"/>
          </w:tcPr>
          <w:p>
            <w:pPr>
              <w:pStyle w:val="112"/>
              <w:jc w:val="center"/>
              <w:textAlignment w:val="center"/>
              <w:rPr>
                <w:rFonts w:hAnsi="宋体"/>
                <w:color w:val="000000"/>
                <w:sz w:val="21"/>
                <w:szCs w:val="21"/>
              </w:rPr>
            </w:pPr>
          </w:p>
        </w:tc>
        <w:tc>
          <w:tcPr>
            <w:tcW w:w="636" w:type="pct"/>
            <w:vAlign w:val="center"/>
          </w:tcPr>
          <w:p>
            <w:pPr>
              <w:pStyle w:val="112"/>
              <w:jc w:val="center"/>
              <w:textAlignment w:val="center"/>
              <w:rPr>
                <w:color w:val="000000"/>
                <w:sz w:val="21"/>
                <w:szCs w:val="21"/>
              </w:rPr>
            </w:pPr>
            <w:r>
              <w:rPr>
                <w:rFonts w:hint="eastAsia"/>
                <w:color w:val="000000"/>
                <w:sz w:val="21"/>
                <w:szCs w:val="21"/>
              </w:rPr>
              <w:t>0.007mg/L</w:t>
            </w:r>
          </w:p>
        </w:tc>
        <w:tc>
          <w:tcPr>
            <w:tcW w:w="2100" w:type="pct"/>
            <w:vMerge w:val="restart"/>
            <w:vAlign w:val="center"/>
          </w:tcPr>
          <w:p>
            <w:pPr>
              <w:pStyle w:val="112"/>
              <w:jc w:val="center"/>
              <w:textAlignment w:val="center"/>
              <w:rPr>
                <w:color w:val="000000"/>
                <w:sz w:val="21"/>
                <w:szCs w:val="21"/>
              </w:rPr>
            </w:pPr>
            <w:r>
              <w:rPr>
                <w:rFonts w:hint="eastAsia"/>
                <w:color w:val="000000"/>
                <w:sz w:val="21"/>
                <w:szCs w:val="21"/>
              </w:rPr>
              <w:t>《水质无极阴离子（F</w:t>
            </w:r>
            <w:r>
              <w:rPr>
                <w:rFonts w:hint="eastAsia"/>
                <w:color w:val="000000"/>
                <w:sz w:val="21"/>
                <w:szCs w:val="21"/>
                <w:vertAlign w:val="superscript"/>
              </w:rPr>
              <w:t>-</w:t>
            </w:r>
            <w:r>
              <w:rPr>
                <w:rFonts w:hint="eastAsia"/>
                <w:color w:val="000000"/>
                <w:sz w:val="21"/>
                <w:szCs w:val="21"/>
              </w:rPr>
              <w:t>、Cl</w:t>
            </w:r>
            <w:r>
              <w:rPr>
                <w:rFonts w:hint="eastAsia"/>
                <w:color w:val="000000"/>
                <w:sz w:val="21"/>
                <w:szCs w:val="21"/>
                <w:vertAlign w:val="superscript"/>
              </w:rPr>
              <w:t>-</w:t>
            </w:r>
            <w:r>
              <w:rPr>
                <w:rFonts w:hint="eastAsia"/>
                <w:color w:val="000000"/>
                <w:sz w:val="21"/>
                <w:szCs w:val="21"/>
              </w:rPr>
              <w:t>、NO</w:t>
            </w:r>
            <w:r>
              <w:rPr>
                <w:rFonts w:hint="eastAsia"/>
                <w:color w:val="000000"/>
                <w:sz w:val="21"/>
                <w:szCs w:val="21"/>
                <w:vertAlign w:val="subscript"/>
              </w:rPr>
              <w:t>3</w:t>
            </w:r>
            <w:r>
              <w:rPr>
                <w:rFonts w:hint="eastAsia"/>
                <w:color w:val="000000"/>
                <w:sz w:val="21"/>
                <w:szCs w:val="21"/>
                <w:vertAlign w:val="superscript"/>
              </w:rPr>
              <w:t>-</w:t>
            </w:r>
            <w:r>
              <w:rPr>
                <w:rFonts w:hint="eastAsia"/>
                <w:color w:val="000000"/>
                <w:sz w:val="21"/>
                <w:szCs w:val="21"/>
              </w:rPr>
              <w:t>、SO</w:t>
            </w:r>
            <w:r>
              <w:rPr>
                <w:rFonts w:hint="eastAsia"/>
                <w:color w:val="000000"/>
                <w:sz w:val="21"/>
                <w:szCs w:val="21"/>
                <w:vertAlign w:val="subscript"/>
              </w:rPr>
              <w:t>4</w:t>
            </w:r>
            <w:r>
              <w:rPr>
                <w:rFonts w:hint="eastAsia"/>
                <w:color w:val="000000"/>
                <w:sz w:val="21"/>
                <w:szCs w:val="21"/>
                <w:vertAlign w:val="superscript"/>
              </w:rPr>
              <w:t>2-</w:t>
            </w:r>
            <w:r>
              <w:rPr>
                <w:rFonts w:hint="eastAsia"/>
                <w:color w:val="000000"/>
                <w:sz w:val="21"/>
                <w:szCs w:val="21"/>
              </w:rPr>
              <w:t>）的测定 离子色谱法》HJ84-2016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3"/>
              <w:spacing w:line="240" w:lineRule="auto"/>
              <w:jc w:val="center"/>
              <w:textAlignment w:val="center"/>
              <w:rPr>
                <w:color w:val="000000"/>
                <w:sz w:val="21"/>
                <w:szCs w:val="21"/>
              </w:rPr>
            </w:pPr>
          </w:p>
        </w:tc>
        <w:tc>
          <w:tcPr>
            <w:tcW w:w="306" w:type="pct"/>
            <w:vAlign w:val="center"/>
          </w:tcPr>
          <w:p>
            <w:pPr>
              <w:jc w:val="center"/>
              <w:rPr>
                <w:color w:val="000000"/>
              </w:rPr>
            </w:pPr>
            <w:r>
              <w:rPr>
                <w:rFonts w:hint="eastAsia"/>
                <w:color w:val="000000"/>
              </w:rPr>
              <w:t>27</w:t>
            </w:r>
          </w:p>
        </w:tc>
        <w:tc>
          <w:tcPr>
            <w:tcW w:w="772" w:type="pct"/>
            <w:vAlign w:val="center"/>
          </w:tcPr>
          <w:p>
            <w:pPr>
              <w:jc w:val="center"/>
              <w:rPr>
                <w:color w:val="000000"/>
              </w:rPr>
            </w:pPr>
            <w:r>
              <w:rPr>
                <w:rFonts w:hint="eastAsia"/>
                <w:color w:val="000000"/>
                <w:szCs w:val="21"/>
              </w:rPr>
              <w:t>硫酸根</w:t>
            </w:r>
          </w:p>
        </w:tc>
        <w:tc>
          <w:tcPr>
            <w:tcW w:w="933" w:type="pct"/>
            <w:vMerge w:val="continue"/>
            <w:vAlign w:val="center"/>
          </w:tcPr>
          <w:p>
            <w:pPr>
              <w:jc w:val="center"/>
              <w:rPr>
                <w:color w:val="000000"/>
              </w:rPr>
            </w:pPr>
          </w:p>
        </w:tc>
        <w:tc>
          <w:tcPr>
            <w:tcW w:w="636" w:type="pct"/>
            <w:vAlign w:val="center"/>
          </w:tcPr>
          <w:p>
            <w:pPr>
              <w:jc w:val="center"/>
              <w:rPr>
                <w:color w:val="000000"/>
              </w:rPr>
            </w:pPr>
            <w:r>
              <w:rPr>
                <w:rFonts w:hint="eastAsia"/>
                <w:color w:val="000000"/>
              </w:rPr>
              <w:t>0.018</w:t>
            </w:r>
            <w:r>
              <w:rPr>
                <w:rFonts w:hint="eastAsia"/>
                <w:color w:val="000000"/>
                <w:szCs w:val="21"/>
              </w:rPr>
              <w:t>mg/L</w:t>
            </w:r>
          </w:p>
        </w:tc>
        <w:tc>
          <w:tcPr>
            <w:tcW w:w="2100" w:type="pct"/>
            <w:vMerge w:val="continue"/>
            <w:vAlign w:val="center"/>
          </w:tcPr>
          <w:p>
            <w:pPr>
              <w:jc w:val="center"/>
              <w:rPr>
                <w:color w:val="000000"/>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3"/>
              <w:spacing w:line="240" w:lineRule="auto"/>
              <w:jc w:val="center"/>
              <w:textAlignment w:val="center"/>
              <w:rPr>
                <w:color w:val="000000"/>
                <w:sz w:val="21"/>
                <w:szCs w:val="21"/>
              </w:rPr>
            </w:pPr>
          </w:p>
        </w:tc>
        <w:tc>
          <w:tcPr>
            <w:tcW w:w="306" w:type="pct"/>
            <w:vAlign w:val="center"/>
          </w:tcPr>
          <w:p>
            <w:pPr>
              <w:jc w:val="center"/>
              <w:rPr>
                <w:color w:val="000000"/>
              </w:rPr>
            </w:pPr>
            <w:r>
              <w:rPr>
                <w:rFonts w:hint="eastAsia"/>
                <w:color w:val="000000"/>
              </w:rPr>
              <w:t>28</w:t>
            </w:r>
          </w:p>
        </w:tc>
        <w:tc>
          <w:tcPr>
            <w:tcW w:w="772" w:type="pct"/>
            <w:vAlign w:val="center"/>
          </w:tcPr>
          <w:p>
            <w:pPr>
              <w:jc w:val="center"/>
              <w:rPr>
                <w:color w:val="000000"/>
                <w:szCs w:val="21"/>
              </w:rPr>
            </w:pPr>
            <w:r>
              <w:rPr>
                <w:rFonts w:hint="eastAsia"/>
                <w:color w:val="000000"/>
                <w:szCs w:val="21"/>
              </w:rPr>
              <w:t>碳酸根</w:t>
            </w:r>
          </w:p>
        </w:tc>
        <w:tc>
          <w:tcPr>
            <w:tcW w:w="933" w:type="pct"/>
            <w:vMerge w:val="continue"/>
            <w:vAlign w:val="center"/>
          </w:tcPr>
          <w:p>
            <w:pPr>
              <w:jc w:val="center"/>
              <w:rPr>
                <w:rFonts w:hAnsi="宋体"/>
                <w:color w:val="000000"/>
                <w:szCs w:val="21"/>
              </w:rPr>
            </w:pPr>
          </w:p>
        </w:tc>
        <w:tc>
          <w:tcPr>
            <w:tcW w:w="636" w:type="pct"/>
            <w:vAlign w:val="center"/>
          </w:tcPr>
          <w:p>
            <w:pPr>
              <w:jc w:val="center"/>
              <w:rPr>
                <w:color w:val="000000"/>
              </w:rPr>
            </w:pPr>
            <w:r>
              <w:rPr>
                <w:rFonts w:hint="eastAsia"/>
                <w:color w:val="000000"/>
              </w:rPr>
              <w:t>5</w:t>
            </w:r>
            <w:r>
              <w:rPr>
                <w:color w:val="000000"/>
                <w:szCs w:val="21"/>
              </w:rPr>
              <w:t>mg/L</w:t>
            </w:r>
          </w:p>
        </w:tc>
        <w:tc>
          <w:tcPr>
            <w:tcW w:w="2100" w:type="pct"/>
            <w:vMerge w:val="restart"/>
            <w:vAlign w:val="center"/>
          </w:tcPr>
          <w:p>
            <w:pPr>
              <w:jc w:val="center"/>
              <w:rPr>
                <w:color w:val="000000"/>
                <w:szCs w:val="21"/>
              </w:rPr>
            </w:pPr>
            <w:r>
              <w:rPr>
                <w:rFonts w:hint="eastAsia"/>
                <w:color w:val="000000"/>
                <w:szCs w:val="21"/>
              </w:rPr>
              <w:t>《地下水质检验方法滴定法测定 碳酸根、重碳酸根和氢氧根》DZ/T0064.49-93</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vAlign w:val="center"/>
          </w:tcPr>
          <w:p>
            <w:pPr>
              <w:pStyle w:val="113"/>
              <w:spacing w:line="240" w:lineRule="auto"/>
              <w:jc w:val="center"/>
              <w:textAlignment w:val="center"/>
              <w:rPr>
                <w:color w:val="000000"/>
                <w:sz w:val="21"/>
                <w:szCs w:val="21"/>
              </w:rPr>
            </w:pPr>
          </w:p>
        </w:tc>
        <w:tc>
          <w:tcPr>
            <w:tcW w:w="306" w:type="pct"/>
            <w:vAlign w:val="center"/>
          </w:tcPr>
          <w:p>
            <w:pPr>
              <w:jc w:val="center"/>
              <w:rPr>
                <w:color w:val="000000"/>
              </w:rPr>
            </w:pPr>
            <w:r>
              <w:rPr>
                <w:rFonts w:hint="eastAsia"/>
                <w:color w:val="000000"/>
              </w:rPr>
              <w:t>29</w:t>
            </w:r>
          </w:p>
        </w:tc>
        <w:tc>
          <w:tcPr>
            <w:tcW w:w="772" w:type="pct"/>
            <w:vAlign w:val="center"/>
          </w:tcPr>
          <w:p>
            <w:pPr>
              <w:jc w:val="center"/>
              <w:rPr>
                <w:color w:val="000000"/>
                <w:szCs w:val="21"/>
              </w:rPr>
            </w:pPr>
            <w:r>
              <w:rPr>
                <w:rFonts w:hint="eastAsia"/>
                <w:color w:val="000000"/>
                <w:szCs w:val="21"/>
              </w:rPr>
              <w:t>碳酸氢根</w:t>
            </w:r>
          </w:p>
        </w:tc>
        <w:tc>
          <w:tcPr>
            <w:tcW w:w="933" w:type="pct"/>
            <w:vMerge w:val="continue"/>
            <w:vAlign w:val="center"/>
          </w:tcPr>
          <w:p>
            <w:pPr>
              <w:jc w:val="center"/>
              <w:rPr>
                <w:rFonts w:hAnsi="宋体"/>
                <w:color w:val="000000"/>
                <w:szCs w:val="21"/>
              </w:rPr>
            </w:pPr>
          </w:p>
        </w:tc>
        <w:tc>
          <w:tcPr>
            <w:tcW w:w="636" w:type="pct"/>
            <w:vAlign w:val="center"/>
          </w:tcPr>
          <w:p>
            <w:pPr>
              <w:jc w:val="center"/>
              <w:rPr>
                <w:color w:val="000000"/>
              </w:rPr>
            </w:pPr>
            <w:r>
              <w:rPr>
                <w:rFonts w:hint="eastAsia"/>
                <w:color w:val="000000"/>
              </w:rPr>
              <w:t>5</w:t>
            </w:r>
            <w:r>
              <w:rPr>
                <w:color w:val="000000"/>
                <w:szCs w:val="21"/>
              </w:rPr>
              <w:t>mg/L</w:t>
            </w:r>
          </w:p>
        </w:tc>
        <w:tc>
          <w:tcPr>
            <w:tcW w:w="2100" w:type="pct"/>
            <w:vMerge w:val="continue"/>
            <w:vAlign w:val="center"/>
          </w:tcPr>
          <w:p>
            <w:pPr>
              <w:jc w:val="center"/>
              <w:rPr>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28" w:type="pct"/>
            <w:gridSpan w:val="3"/>
            <w:vAlign w:val="center"/>
          </w:tcPr>
          <w:p>
            <w:pPr>
              <w:autoSpaceDE w:val="0"/>
              <w:autoSpaceDN w:val="0"/>
              <w:jc w:val="center"/>
              <w:rPr>
                <w:color w:val="000000"/>
                <w:szCs w:val="21"/>
              </w:rPr>
            </w:pPr>
            <w:r>
              <w:rPr>
                <w:rFonts w:hint="eastAsia"/>
                <w:color w:val="000000"/>
                <w:szCs w:val="21"/>
                <w:u w:color="000000"/>
              </w:rPr>
              <w:t>环境噪声</w:t>
            </w:r>
          </w:p>
        </w:tc>
        <w:tc>
          <w:tcPr>
            <w:tcW w:w="933" w:type="pct"/>
            <w:vAlign w:val="center"/>
          </w:tcPr>
          <w:p>
            <w:pPr>
              <w:jc w:val="center"/>
              <w:rPr>
                <w:color w:val="000000"/>
                <w:szCs w:val="21"/>
                <w:u w:color="000000"/>
              </w:rPr>
            </w:pPr>
            <w:r>
              <w:rPr>
                <w:rFonts w:hint="eastAsia"/>
                <w:color w:val="000000"/>
                <w:szCs w:val="21"/>
                <w:u w:color="000000"/>
              </w:rPr>
              <w:t>声环境质量标准（</w:t>
            </w:r>
            <w:r>
              <w:rPr>
                <w:color w:val="000000"/>
                <w:szCs w:val="21"/>
                <w:u w:color="000000"/>
              </w:rPr>
              <w:t>GB</w:t>
            </w:r>
            <w:r>
              <w:rPr>
                <w:rFonts w:hint="eastAsia"/>
                <w:color w:val="000000"/>
                <w:szCs w:val="21"/>
                <w:u w:color="000000"/>
              </w:rPr>
              <w:t>3096</w:t>
            </w:r>
            <w:r>
              <w:rPr>
                <w:color w:val="000000"/>
                <w:szCs w:val="21"/>
                <w:u w:color="000000"/>
              </w:rPr>
              <w:t>-2008</w:t>
            </w:r>
            <w:r>
              <w:rPr>
                <w:rFonts w:hint="eastAsia"/>
                <w:color w:val="000000"/>
                <w:szCs w:val="21"/>
                <w:u w:color="000000"/>
              </w:rPr>
              <w:t>）</w:t>
            </w:r>
          </w:p>
        </w:tc>
        <w:tc>
          <w:tcPr>
            <w:tcW w:w="636" w:type="pct"/>
            <w:vAlign w:val="center"/>
          </w:tcPr>
          <w:p>
            <w:pPr>
              <w:jc w:val="center"/>
              <w:rPr>
                <w:color w:val="000000"/>
              </w:rPr>
            </w:pPr>
            <w:r>
              <w:rPr>
                <w:rFonts w:hint="eastAsia"/>
                <w:color w:val="000000"/>
              </w:rPr>
              <w:t>35</w:t>
            </w:r>
            <w:r>
              <w:rPr>
                <w:rFonts w:hint="eastAsia"/>
                <w:color w:val="000000"/>
                <w:szCs w:val="21"/>
              </w:rPr>
              <w:t xml:space="preserve"> d</w:t>
            </w:r>
            <w:r>
              <w:rPr>
                <w:color w:val="000000"/>
                <w:szCs w:val="21"/>
              </w:rPr>
              <w:t>B</w:t>
            </w:r>
            <w:r>
              <w:rPr>
                <w:rFonts w:hint="eastAsia"/>
                <w:color w:val="000000"/>
                <w:szCs w:val="21"/>
              </w:rPr>
              <w:t xml:space="preserve"> </w:t>
            </w:r>
            <w:r>
              <w:rPr>
                <w:color w:val="000000"/>
                <w:szCs w:val="21"/>
              </w:rPr>
              <w:t>(A)</w:t>
            </w:r>
          </w:p>
        </w:tc>
        <w:tc>
          <w:tcPr>
            <w:tcW w:w="2100" w:type="pct"/>
            <w:vAlign w:val="center"/>
          </w:tcPr>
          <w:p>
            <w:pPr>
              <w:jc w:val="center"/>
              <w:rPr>
                <w:color w:val="000000"/>
                <w:szCs w:val="21"/>
              </w:rPr>
            </w:pPr>
            <w:r>
              <w:rPr>
                <w:rFonts w:hint="eastAsia"/>
                <w:color w:val="000000"/>
                <w:szCs w:val="21"/>
              </w:rPr>
              <w:t>GB306-2008《声环境质量标准》6监测类型与方法</w:t>
            </w:r>
          </w:p>
        </w:tc>
      </w:tr>
    </w:tbl>
    <w:p>
      <w:pPr>
        <w:spacing w:line="480" w:lineRule="exact"/>
        <w:outlineLvl w:val="3"/>
        <w:rPr>
          <w:rFonts w:eastAsia="黑体"/>
          <w:color w:val="000000"/>
          <w:sz w:val="24"/>
          <w:szCs w:val="21"/>
        </w:rPr>
      </w:pPr>
      <w:r>
        <w:rPr>
          <w:rFonts w:hint="eastAsia" w:eastAsia="黑体"/>
          <w:color w:val="000000"/>
          <w:sz w:val="24"/>
          <w:szCs w:val="21"/>
        </w:rPr>
        <w:t>1.2.3.3</w:t>
      </w:r>
      <w:r>
        <w:rPr>
          <w:rFonts w:eastAsia="黑体"/>
          <w:color w:val="000000"/>
          <w:sz w:val="24"/>
          <w:szCs w:val="21"/>
        </w:rPr>
        <w:t>评价标准</w:t>
      </w:r>
    </w:p>
    <w:p>
      <w:pPr>
        <w:adjustRightInd w:val="0"/>
        <w:snapToGrid w:val="0"/>
        <w:spacing w:line="480" w:lineRule="exact"/>
        <w:ind w:firstLine="482"/>
        <w:rPr>
          <w:color w:val="000000"/>
          <w:spacing w:val="4"/>
          <w:sz w:val="24"/>
        </w:rPr>
      </w:pPr>
      <w:r>
        <w:rPr>
          <w:color w:val="000000"/>
          <w:spacing w:val="4"/>
          <w:sz w:val="24"/>
        </w:rPr>
        <w:t>本次评价采用《地下水质量标准》（GB14848-93）中的</w:t>
      </w:r>
      <w:r>
        <w:rPr>
          <w:rFonts w:hint="eastAsia" w:ascii="宋体" w:hAnsi="宋体" w:cs="宋体"/>
          <w:color w:val="000000"/>
          <w:spacing w:val="4"/>
          <w:sz w:val="24"/>
        </w:rPr>
        <w:t>Ⅲ</w:t>
      </w:r>
      <w:r>
        <w:rPr>
          <w:color w:val="000000"/>
          <w:spacing w:val="4"/>
          <w:sz w:val="24"/>
        </w:rPr>
        <w:t>类标准表</w:t>
      </w:r>
      <w:r>
        <w:rPr>
          <w:rFonts w:hint="eastAsia"/>
          <w:color w:val="000000"/>
          <w:spacing w:val="4"/>
          <w:sz w:val="24"/>
        </w:rPr>
        <w:t>1</w:t>
      </w:r>
      <w:r>
        <w:rPr>
          <w:color w:val="000000"/>
          <w:spacing w:val="4"/>
          <w:sz w:val="24"/>
        </w:rPr>
        <w:t>-</w:t>
      </w:r>
      <w:r>
        <w:rPr>
          <w:rFonts w:hint="eastAsia"/>
          <w:color w:val="000000"/>
          <w:spacing w:val="4"/>
          <w:sz w:val="24"/>
        </w:rPr>
        <w:t>5</w:t>
      </w:r>
      <w:r>
        <w:rPr>
          <w:color w:val="000000"/>
          <w:spacing w:val="4"/>
          <w:sz w:val="24"/>
        </w:rPr>
        <w:t>。</w:t>
      </w:r>
    </w:p>
    <w:p>
      <w:pPr>
        <w:spacing w:line="480" w:lineRule="exact"/>
        <w:jc w:val="center"/>
        <w:rPr>
          <w:b/>
          <w:color w:val="000000"/>
          <w:sz w:val="24"/>
        </w:rPr>
      </w:pPr>
      <w:r>
        <w:rPr>
          <w:b/>
          <w:color w:val="000000"/>
          <w:sz w:val="24"/>
        </w:rPr>
        <w:t>表</w:t>
      </w:r>
      <w:r>
        <w:rPr>
          <w:rFonts w:hint="eastAsia"/>
          <w:b/>
          <w:color w:val="000000"/>
          <w:sz w:val="24"/>
        </w:rPr>
        <w:t>1</w:t>
      </w:r>
      <w:r>
        <w:rPr>
          <w:b/>
          <w:color w:val="000000"/>
          <w:sz w:val="24"/>
        </w:rPr>
        <w:t>-</w:t>
      </w:r>
      <w:r>
        <w:rPr>
          <w:rFonts w:hint="eastAsia"/>
          <w:b/>
          <w:color w:val="000000"/>
          <w:sz w:val="24"/>
        </w:rPr>
        <w:t>5</w:t>
      </w:r>
      <w:r>
        <w:rPr>
          <w:b/>
          <w:color w:val="000000"/>
          <w:sz w:val="24"/>
        </w:rPr>
        <w:t xml:space="preserve"> 地下水质量标准   单位：mg/L   PH除外</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1066"/>
        <w:gridCol w:w="1408"/>
        <w:gridCol w:w="1619"/>
        <w:gridCol w:w="1176"/>
        <w:gridCol w:w="1619"/>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tcPr>
          <w:p>
            <w:pPr>
              <w:widowControl/>
              <w:spacing w:line="360" w:lineRule="exact"/>
              <w:jc w:val="center"/>
              <w:rPr>
                <w:szCs w:val="21"/>
              </w:rPr>
            </w:pPr>
            <w:r>
              <w:rPr>
                <w:szCs w:val="21"/>
              </w:rPr>
              <w:t>污染物</w:t>
            </w:r>
          </w:p>
        </w:tc>
        <w:tc>
          <w:tcPr>
            <w:tcW w:w="574" w:type="pct"/>
          </w:tcPr>
          <w:p>
            <w:pPr>
              <w:widowControl/>
              <w:spacing w:line="360" w:lineRule="exact"/>
              <w:jc w:val="center"/>
              <w:rPr>
                <w:szCs w:val="21"/>
              </w:rPr>
            </w:pPr>
            <w:r>
              <w:rPr>
                <w:szCs w:val="21"/>
              </w:rPr>
              <w:t>PH</w:t>
            </w:r>
          </w:p>
        </w:tc>
        <w:tc>
          <w:tcPr>
            <w:tcW w:w="758" w:type="pct"/>
          </w:tcPr>
          <w:p>
            <w:pPr>
              <w:widowControl/>
              <w:spacing w:line="360" w:lineRule="exact"/>
              <w:jc w:val="center"/>
              <w:rPr>
                <w:szCs w:val="21"/>
              </w:rPr>
            </w:pPr>
            <w:r>
              <w:rPr>
                <w:szCs w:val="21"/>
              </w:rPr>
              <w:t>总硬度</w:t>
            </w:r>
          </w:p>
        </w:tc>
        <w:tc>
          <w:tcPr>
            <w:tcW w:w="872" w:type="pct"/>
          </w:tcPr>
          <w:p>
            <w:pPr>
              <w:widowControl/>
              <w:spacing w:line="360" w:lineRule="exact"/>
              <w:jc w:val="center"/>
              <w:rPr>
                <w:szCs w:val="21"/>
              </w:rPr>
            </w:pPr>
            <w:r>
              <w:rPr>
                <w:szCs w:val="21"/>
              </w:rPr>
              <w:t>硫酸盐</w:t>
            </w:r>
          </w:p>
        </w:tc>
        <w:tc>
          <w:tcPr>
            <w:tcW w:w="633" w:type="pct"/>
          </w:tcPr>
          <w:p>
            <w:pPr>
              <w:widowControl/>
              <w:spacing w:line="360" w:lineRule="exact"/>
              <w:jc w:val="center"/>
              <w:rPr>
                <w:szCs w:val="21"/>
              </w:rPr>
            </w:pPr>
            <w:r>
              <w:rPr>
                <w:szCs w:val="21"/>
              </w:rPr>
              <w:t>氨氮</w:t>
            </w:r>
          </w:p>
        </w:tc>
        <w:tc>
          <w:tcPr>
            <w:tcW w:w="872" w:type="pct"/>
          </w:tcPr>
          <w:p>
            <w:pPr>
              <w:widowControl/>
              <w:spacing w:line="360" w:lineRule="exact"/>
              <w:jc w:val="center"/>
              <w:rPr>
                <w:szCs w:val="21"/>
              </w:rPr>
            </w:pPr>
            <w:r>
              <w:rPr>
                <w:szCs w:val="21"/>
              </w:rPr>
              <w:t>硝酸盐</w:t>
            </w:r>
          </w:p>
        </w:tc>
        <w:tc>
          <w:tcPr>
            <w:tcW w:w="662" w:type="pct"/>
          </w:tcPr>
          <w:p>
            <w:pPr>
              <w:widowControl/>
              <w:spacing w:line="360" w:lineRule="exact"/>
              <w:jc w:val="center"/>
              <w:rPr>
                <w:szCs w:val="21"/>
              </w:rPr>
            </w:pPr>
            <w:r>
              <w:rPr>
                <w:szCs w:val="21"/>
              </w:rPr>
              <w:t>亚硝酸盐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tcPr>
          <w:p>
            <w:pPr>
              <w:widowControl/>
              <w:spacing w:line="360" w:lineRule="exact"/>
              <w:jc w:val="center"/>
              <w:rPr>
                <w:szCs w:val="21"/>
              </w:rPr>
            </w:pPr>
            <w:r>
              <w:rPr>
                <w:szCs w:val="21"/>
              </w:rPr>
              <w:t>标准值</w:t>
            </w:r>
          </w:p>
        </w:tc>
        <w:tc>
          <w:tcPr>
            <w:tcW w:w="574" w:type="pct"/>
          </w:tcPr>
          <w:p>
            <w:pPr>
              <w:widowControl/>
              <w:spacing w:line="360" w:lineRule="exact"/>
              <w:jc w:val="center"/>
              <w:rPr>
                <w:szCs w:val="21"/>
              </w:rPr>
            </w:pPr>
            <w:r>
              <w:rPr>
                <w:szCs w:val="21"/>
              </w:rPr>
              <w:t>6.5~8.5</w:t>
            </w:r>
          </w:p>
        </w:tc>
        <w:tc>
          <w:tcPr>
            <w:tcW w:w="758" w:type="pct"/>
          </w:tcPr>
          <w:p>
            <w:pPr>
              <w:widowControl/>
              <w:spacing w:line="360" w:lineRule="exact"/>
              <w:jc w:val="center"/>
              <w:rPr>
                <w:szCs w:val="21"/>
              </w:rPr>
            </w:pPr>
            <w:r>
              <w:rPr>
                <w:szCs w:val="21"/>
              </w:rPr>
              <w:t>≤450</w:t>
            </w:r>
          </w:p>
        </w:tc>
        <w:tc>
          <w:tcPr>
            <w:tcW w:w="872" w:type="pct"/>
          </w:tcPr>
          <w:p>
            <w:pPr>
              <w:widowControl/>
              <w:spacing w:line="360" w:lineRule="exact"/>
              <w:jc w:val="center"/>
              <w:rPr>
                <w:szCs w:val="21"/>
              </w:rPr>
            </w:pPr>
            <w:r>
              <w:rPr>
                <w:szCs w:val="21"/>
              </w:rPr>
              <w:t>≤250</w:t>
            </w:r>
          </w:p>
        </w:tc>
        <w:tc>
          <w:tcPr>
            <w:tcW w:w="633" w:type="pct"/>
          </w:tcPr>
          <w:p>
            <w:pPr>
              <w:widowControl/>
              <w:spacing w:line="360" w:lineRule="exact"/>
              <w:jc w:val="center"/>
              <w:rPr>
                <w:szCs w:val="21"/>
              </w:rPr>
            </w:pPr>
            <w:r>
              <w:rPr>
                <w:szCs w:val="21"/>
              </w:rPr>
              <w:t>≤0.5</w:t>
            </w:r>
          </w:p>
        </w:tc>
        <w:tc>
          <w:tcPr>
            <w:tcW w:w="872" w:type="pct"/>
          </w:tcPr>
          <w:p>
            <w:pPr>
              <w:widowControl/>
              <w:spacing w:line="360" w:lineRule="exact"/>
              <w:jc w:val="center"/>
              <w:rPr>
                <w:szCs w:val="21"/>
              </w:rPr>
            </w:pPr>
            <w:r>
              <w:rPr>
                <w:szCs w:val="21"/>
              </w:rPr>
              <w:t>≤20</w:t>
            </w:r>
          </w:p>
        </w:tc>
        <w:tc>
          <w:tcPr>
            <w:tcW w:w="662" w:type="pct"/>
          </w:tcPr>
          <w:p>
            <w:pPr>
              <w:widowControl/>
              <w:spacing w:line="360" w:lineRule="exact"/>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tcPr>
          <w:p>
            <w:pPr>
              <w:widowControl/>
              <w:spacing w:line="360" w:lineRule="exact"/>
              <w:jc w:val="center"/>
              <w:rPr>
                <w:szCs w:val="21"/>
              </w:rPr>
            </w:pPr>
            <w:r>
              <w:rPr>
                <w:szCs w:val="21"/>
              </w:rPr>
              <w:t>污染物</w:t>
            </w:r>
          </w:p>
        </w:tc>
        <w:tc>
          <w:tcPr>
            <w:tcW w:w="574" w:type="pct"/>
          </w:tcPr>
          <w:p>
            <w:pPr>
              <w:widowControl/>
              <w:spacing w:line="360" w:lineRule="exact"/>
              <w:jc w:val="center"/>
              <w:rPr>
                <w:szCs w:val="21"/>
              </w:rPr>
            </w:pPr>
            <w:r>
              <w:rPr>
                <w:szCs w:val="21"/>
              </w:rPr>
              <w:t>氟化物</w:t>
            </w:r>
          </w:p>
        </w:tc>
        <w:tc>
          <w:tcPr>
            <w:tcW w:w="758" w:type="pct"/>
          </w:tcPr>
          <w:p>
            <w:pPr>
              <w:widowControl/>
              <w:spacing w:line="360" w:lineRule="exact"/>
              <w:jc w:val="center"/>
              <w:rPr>
                <w:szCs w:val="21"/>
              </w:rPr>
            </w:pPr>
            <w:r>
              <w:rPr>
                <w:szCs w:val="21"/>
              </w:rPr>
              <w:t>砷</w:t>
            </w:r>
          </w:p>
        </w:tc>
        <w:tc>
          <w:tcPr>
            <w:tcW w:w="872" w:type="pct"/>
          </w:tcPr>
          <w:p>
            <w:pPr>
              <w:widowControl/>
              <w:spacing w:line="360" w:lineRule="exact"/>
              <w:jc w:val="center"/>
              <w:rPr>
                <w:szCs w:val="21"/>
              </w:rPr>
            </w:pPr>
            <w:r>
              <w:rPr>
                <w:szCs w:val="21"/>
              </w:rPr>
              <w:t>总大肠菌群</w:t>
            </w:r>
          </w:p>
        </w:tc>
        <w:tc>
          <w:tcPr>
            <w:tcW w:w="633" w:type="pct"/>
          </w:tcPr>
          <w:p>
            <w:pPr>
              <w:widowControl/>
              <w:spacing w:line="360" w:lineRule="exact"/>
              <w:jc w:val="center"/>
              <w:rPr>
                <w:szCs w:val="21"/>
              </w:rPr>
            </w:pPr>
            <w:r>
              <w:rPr>
                <w:szCs w:val="21"/>
              </w:rPr>
              <w:t>氯化物</w:t>
            </w:r>
          </w:p>
        </w:tc>
        <w:tc>
          <w:tcPr>
            <w:tcW w:w="872" w:type="pct"/>
          </w:tcPr>
          <w:p>
            <w:pPr>
              <w:widowControl/>
              <w:spacing w:line="360" w:lineRule="exact"/>
              <w:jc w:val="center"/>
              <w:rPr>
                <w:szCs w:val="21"/>
              </w:rPr>
            </w:pPr>
            <w:r>
              <w:rPr>
                <w:szCs w:val="21"/>
              </w:rPr>
              <w:t>溶解性总固体</w:t>
            </w:r>
          </w:p>
        </w:tc>
        <w:tc>
          <w:tcPr>
            <w:tcW w:w="662" w:type="pct"/>
          </w:tcPr>
          <w:p>
            <w:pPr>
              <w:widowControl/>
              <w:spacing w:line="360" w:lineRule="exact"/>
              <w:jc w:val="center"/>
              <w:rPr>
                <w:szCs w:val="21"/>
              </w:rPr>
            </w:pPr>
            <w:r>
              <w:rPr>
                <w:szCs w:val="21"/>
              </w:rPr>
              <w:t>挥发酚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tcPr>
          <w:p>
            <w:pPr>
              <w:widowControl/>
              <w:spacing w:line="360" w:lineRule="exact"/>
              <w:jc w:val="center"/>
              <w:rPr>
                <w:szCs w:val="21"/>
              </w:rPr>
            </w:pPr>
            <w:r>
              <w:rPr>
                <w:szCs w:val="21"/>
              </w:rPr>
              <w:t>标准值</w:t>
            </w:r>
          </w:p>
        </w:tc>
        <w:tc>
          <w:tcPr>
            <w:tcW w:w="574" w:type="pct"/>
          </w:tcPr>
          <w:p>
            <w:pPr>
              <w:widowControl/>
              <w:spacing w:line="360" w:lineRule="exact"/>
              <w:jc w:val="center"/>
              <w:rPr>
                <w:szCs w:val="21"/>
              </w:rPr>
            </w:pPr>
            <w:r>
              <w:rPr>
                <w:szCs w:val="21"/>
              </w:rPr>
              <w:t>≤1.0</w:t>
            </w:r>
          </w:p>
        </w:tc>
        <w:tc>
          <w:tcPr>
            <w:tcW w:w="758" w:type="pct"/>
          </w:tcPr>
          <w:p>
            <w:pPr>
              <w:widowControl/>
              <w:spacing w:line="360" w:lineRule="exact"/>
              <w:jc w:val="center"/>
              <w:rPr>
                <w:szCs w:val="21"/>
              </w:rPr>
            </w:pPr>
            <w:r>
              <w:rPr>
                <w:szCs w:val="21"/>
              </w:rPr>
              <w:t>≤0.01</w:t>
            </w:r>
          </w:p>
        </w:tc>
        <w:tc>
          <w:tcPr>
            <w:tcW w:w="872" w:type="pct"/>
          </w:tcPr>
          <w:p>
            <w:pPr>
              <w:widowControl/>
              <w:spacing w:line="360" w:lineRule="exact"/>
              <w:jc w:val="center"/>
              <w:rPr>
                <w:szCs w:val="21"/>
              </w:rPr>
            </w:pPr>
            <w:r>
              <w:rPr>
                <w:szCs w:val="21"/>
              </w:rPr>
              <w:t>≤3.0</w:t>
            </w:r>
          </w:p>
        </w:tc>
        <w:tc>
          <w:tcPr>
            <w:tcW w:w="633" w:type="pct"/>
          </w:tcPr>
          <w:p>
            <w:pPr>
              <w:widowControl/>
              <w:spacing w:line="360" w:lineRule="exact"/>
              <w:jc w:val="center"/>
              <w:rPr>
                <w:szCs w:val="21"/>
              </w:rPr>
            </w:pPr>
            <w:r>
              <w:rPr>
                <w:szCs w:val="21"/>
              </w:rPr>
              <w:t>≤250</w:t>
            </w:r>
          </w:p>
        </w:tc>
        <w:tc>
          <w:tcPr>
            <w:tcW w:w="872" w:type="pct"/>
          </w:tcPr>
          <w:p>
            <w:pPr>
              <w:widowControl/>
              <w:spacing w:line="360" w:lineRule="exact"/>
              <w:jc w:val="center"/>
              <w:rPr>
                <w:szCs w:val="21"/>
              </w:rPr>
            </w:pPr>
            <w:r>
              <w:rPr>
                <w:szCs w:val="21"/>
              </w:rPr>
              <w:t>≤1000</w:t>
            </w:r>
          </w:p>
        </w:tc>
        <w:tc>
          <w:tcPr>
            <w:tcW w:w="662" w:type="pct"/>
          </w:tcPr>
          <w:p>
            <w:pPr>
              <w:widowControl/>
              <w:spacing w:line="360" w:lineRule="exact"/>
              <w:jc w:val="center"/>
              <w:rPr>
                <w:szCs w:val="21"/>
              </w:rPr>
            </w:pPr>
            <w:r>
              <w:rPr>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tcPr>
          <w:p>
            <w:pPr>
              <w:widowControl/>
              <w:spacing w:line="360" w:lineRule="exact"/>
              <w:jc w:val="center"/>
              <w:rPr>
                <w:szCs w:val="21"/>
              </w:rPr>
            </w:pPr>
            <w:r>
              <w:rPr>
                <w:szCs w:val="21"/>
              </w:rPr>
              <w:t>污染物</w:t>
            </w:r>
          </w:p>
        </w:tc>
        <w:tc>
          <w:tcPr>
            <w:tcW w:w="574" w:type="pct"/>
          </w:tcPr>
          <w:p>
            <w:pPr>
              <w:widowControl/>
              <w:spacing w:line="360" w:lineRule="exact"/>
              <w:jc w:val="center"/>
              <w:rPr>
                <w:szCs w:val="21"/>
              </w:rPr>
            </w:pPr>
            <w:r>
              <w:rPr>
                <w:szCs w:val="21"/>
              </w:rPr>
              <w:t>铁</w:t>
            </w:r>
          </w:p>
        </w:tc>
        <w:tc>
          <w:tcPr>
            <w:tcW w:w="758" w:type="pct"/>
          </w:tcPr>
          <w:p>
            <w:pPr>
              <w:widowControl/>
              <w:spacing w:line="360" w:lineRule="exact"/>
              <w:jc w:val="center"/>
              <w:rPr>
                <w:szCs w:val="21"/>
              </w:rPr>
            </w:pPr>
            <w:r>
              <w:rPr>
                <w:szCs w:val="21"/>
              </w:rPr>
              <w:t>锰</w:t>
            </w:r>
          </w:p>
        </w:tc>
        <w:tc>
          <w:tcPr>
            <w:tcW w:w="872" w:type="pct"/>
          </w:tcPr>
          <w:p>
            <w:pPr>
              <w:widowControl/>
              <w:spacing w:line="360" w:lineRule="exact"/>
              <w:jc w:val="center"/>
              <w:rPr>
                <w:szCs w:val="21"/>
              </w:rPr>
            </w:pPr>
            <w:r>
              <w:rPr>
                <w:szCs w:val="21"/>
              </w:rPr>
              <w:t>汞</w:t>
            </w:r>
          </w:p>
        </w:tc>
        <w:tc>
          <w:tcPr>
            <w:tcW w:w="633" w:type="pct"/>
          </w:tcPr>
          <w:p>
            <w:pPr>
              <w:widowControl/>
              <w:spacing w:line="360" w:lineRule="exact"/>
              <w:jc w:val="center"/>
              <w:rPr>
                <w:szCs w:val="21"/>
              </w:rPr>
            </w:pPr>
            <w:r>
              <w:rPr>
                <w:szCs w:val="21"/>
              </w:rPr>
              <w:t>铅</w:t>
            </w:r>
          </w:p>
        </w:tc>
        <w:tc>
          <w:tcPr>
            <w:tcW w:w="872" w:type="pct"/>
          </w:tcPr>
          <w:p>
            <w:pPr>
              <w:widowControl/>
              <w:spacing w:line="360" w:lineRule="exact"/>
              <w:jc w:val="center"/>
              <w:rPr>
                <w:szCs w:val="21"/>
              </w:rPr>
            </w:pPr>
            <w:r>
              <w:rPr>
                <w:szCs w:val="21"/>
              </w:rPr>
              <w:t>六价铬</w:t>
            </w:r>
          </w:p>
        </w:tc>
        <w:tc>
          <w:tcPr>
            <w:tcW w:w="662" w:type="pct"/>
          </w:tcPr>
          <w:p>
            <w:pPr>
              <w:widowControl/>
              <w:spacing w:line="360" w:lineRule="exact"/>
              <w:jc w:val="center"/>
              <w:rPr>
                <w:szCs w:val="21"/>
              </w:rPr>
            </w:pPr>
            <w:r>
              <w:rPr>
                <w:szCs w:val="21"/>
              </w:rPr>
              <w:t>氰化物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tcPr>
          <w:p>
            <w:pPr>
              <w:widowControl/>
              <w:spacing w:line="360" w:lineRule="exact"/>
              <w:jc w:val="center"/>
              <w:rPr>
                <w:szCs w:val="21"/>
              </w:rPr>
            </w:pPr>
            <w:r>
              <w:rPr>
                <w:szCs w:val="21"/>
              </w:rPr>
              <w:t>标准值</w:t>
            </w:r>
          </w:p>
        </w:tc>
        <w:tc>
          <w:tcPr>
            <w:tcW w:w="574" w:type="pct"/>
          </w:tcPr>
          <w:p>
            <w:pPr>
              <w:widowControl/>
              <w:spacing w:line="360" w:lineRule="exact"/>
              <w:jc w:val="center"/>
              <w:rPr>
                <w:szCs w:val="21"/>
              </w:rPr>
            </w:pPr>
            <w:r>
              <w:rPr>
                <w:szCs w:val="21"/>
              </w:rPr>
              <w:t>≤0.3</w:t>
            </w:r>
          </w:p>
        </w:tc>
        <w:tc>
          <w:tcPr>
            <w:tcW w:w="758" w:type="pct"/>
          </w:tcPr>
          <w:p>
            <w:pPr>
              <w:widowControl/>
              <w:spacing w:line="360" w:lineRule="exact"/>
              <w:jc w:val="center"/>
              <w:rPr>
                <w:szCs w:val="21"/>
              </w:rPr>
            </w:pPr>
            <w:r>
              <w:rPr>
                <w:szCs w:val="21"/>
              </w:rPr>
              <w:t>≤0.1</w:t>
            </w:r>
          </w:p>
        </w:tc>
        <w:tc>
          <w:tcPr>
            <w:tcW w:w="872" w:type="pct"/>
          </w:tcPr>
          <w:p>
            <w:pPr>
              <w:widowControl/>
              <w:spacing w:line="360" w:lineRule="exact"/>
              <w:jc w:val="center"/>
              <w:rPr>
                <w:szCs w:val="21"/>
              </w:rPr>
            </w:pPr>
            <w:r>
              <w:rPr>
                <w:szCs w:val="21"/>
              </w:rPr>
              <w:t>≤0.001</w:t>
            </w:r>
          </w:p>
        </w:tc>
        <w:tc>
          <w:tcPr>
            <w:tcW w:w="633" w:type="pct"/>
          </w:tcPr>
          <w:p>
            <w:pPr>
              <w:widowControl/>
              <w:spacing w:line="360" w:lineRule="exact"/>
              <w:jc w:val="center"/>
              <w:rPr>
                <w:szCs w:val="21"/>
              </w:rPr>
            </w:pPr>
            <w:r>
              <w:rPr>
                <w:szCs w:val="21"/>
              </w:rPr>
              <w:t>≤0.01</w:t>
            </w:r>
          </w:p>
        </w:tc>
        <w:tc>
          <w:tcPr>
            <w:tcW w:w="872" w:type="pct"/>
          </w:tcPr>
          <w:p>
            <w:pPr>
              <w:widowControl/>
              <w:spacing w:line="360" w:lineRule="exact"/>
              <w:jc w:val="center"/>
              <w:rPr>
                <w:szCs w:val="21"/>
              </w:rPr>
            </w:pPr>
            <w:r>
              <w:rPr>
                <w:szCs w:val="21"/>
              </w:rPr>
              <w:t>≤0.05</w:t>
            </w:r>
          </w:p>
        </w:tc>
        <w:tc>
          <w:tcPr>
            <w:tcW w:w="662" w:type="pct"/>
          </w:tcPr>
          <w:p>
            <w:pPr>
              <w:widowControl/>
              <w:spacing w:line="360" w:lineRule="exact"/>
              <w:jc w:val="center"/>
              <w:rPr>
                <w:szCs w:val="21"/>
              </w:rPr>
            </w:pPr>
            <w:r>
              <w:rPr>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tcPr>
          <w:p>
            <w:pPr>
              <w:widowControl/>
              <w:spacing w:line="360" w:lineRule="exact"/>
              <w:jc w:val="center"/>
              <w:rPr>
                <w:szCs w:val="21"/>
              </w:rPr>
            </w:pPr>
            <w:r>
              <w:rPr>
                <w:szCs w:val="21"/>
              </w:rPr>
              <w:t>污染物</w:t>
            </w:r>
          </w:p>
        </w:tc>
        <w:tc>
          <w:tcPr>
            <w:tcW w:w="574" w:type="pct"/>
          </w:tcPr>
          <w:p>
            <w:pPr>
              <w:widowControl/>
              <w:spacing w:line="360" w:lineRule="exact"/>
              <w:jc w:val="center"/>
              <w:rPr>
                <w:szCs w:val="21"/>
              </w:rPr>
            </w:pPr>
            <w:r>
              <w:rPr>
                <w:szCs w:val="21"/>
              </w:rPr>
              <w:t>镉</w:t>
            </w:r>
          </w:p>
        </w:tc>
        <w:tc>
          <w:tcPr>
            <w:tcW w:w="758" w:type="pct"/>
          </w:tcPr>
          <w:p>
            <w:pPr>
              <w:widowControl/>
              <w:spacing w:line="360" w:lineRule="exact"/>
              <w:jc w:val="center"/>
              <w:rPr>
                <w:szCs w:val="21"/>
              </w:rPr>
            </w:pPr>
            <w:r>
              <w:rPr>
                <w:rFonts w:hint="eastAsia"/>
                <w:szCs w:val="21"/>
              </w:rPr>
              <w:t>菌落总数</w:t>
            </w:r>
          </w:p>
        </w:tc>
        <w:tc>
          <w:tcPr>
            <w:tcW w:w="872" w:type="pct"/>
          </w:tcPr>
          <w:p>
            <w:pPr>
              <w:widowControl/>
              <w:spacing w:line="360" w:lineRule="exact"/>
              <w:jc w:val="center"/>
              <w:rPr>
                <w:szCs w:val="21"/>
              </w:rPr>
            </w:pPr>
            <w:r>
              <w:rPr>
                <w:rFonts w:hint="eastAsia"/>
                <w:szCs w:val="21"/>
              </w:rPr>
              <w:t>耗氧量</w:t>
            </w:r>
          </w:p>
        </w:tc>
        <w:tc>
          <w:tcPr>
            <w:tcW w:w="633" w:type="pct"/>
          </w:tcPr>
          <w:p>
            <w:pPr>
              <w:widowControl/>
              <w:spacing w:line="360" w:lineRule="exact"/>
              <w:jc w:val="center"/>
              <w:rPr>
                <w:szCs w:val="21"/>
              </w:rPr>
            </w:pPr>
          </w:p>
        </w:tc>
        <w:tc>
          <w:tcPr>
            <w:tcW w:w="872" w:type="pct"/>
          </w:tcPr>
          <w:p>
            <w:pPr>
              <w:widowControl/>
              <w:spacing w:line="360" w:lineRule="exact"/>
              <w:jc w:val="center"/>
              <w:rPr>
                <w:szCs w:val="21"/>
              </w:rPr>
            </w:pPr>
          </w:p>
        </w:tc>
        <w:tc>
          <w:tcPr>
            <w:tcW w:w="662" w:type="pct"/>
          </w:tcPr>
          <w:p>
            <w:pPr>
              <w:widowControl/>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tcPr>
          <w:p>
            <w:pPr>
              <w:widowControl/>
              <w:spacing w:line="360" w:lineRule="exact"/>
              <w:jc w:val="center"/>
              <w:rPr>
                <w:szCs w:val="21"/>
              </w:rPr>
            </w:pPr>
            <w:r>
              <w:rPr>
                <w:szCs w:val="21"/>
              </w:rPr>
              <w:t>标准值</w:t>
            </w:r>
          </w:p>
        </w:tc>
        <w:tc>
          <w:tcPr>
            <w:tcW w:w="574" w:type="pct"/>
          </w:tcPr>
          <w:p>
            <w:pPr>
              <w:widowControl/>
              <w:spacing w:line="360" w:lineRule="exact"/>
              <w:jc w:val="center"/>
              <w:rPr>
                <w:szCs w:val="21"/>
              </w:rPr>
            </w:pPr>
            <w:r>
              <w:rPr>
                <w:szCs w:val="21"/>
              </w:rPr>
              <w:t>≤0.005</w:t>
            </w:r>
          </w:p>
        </w:tc>
        <w:tc>
          <w:tcPr>
            <w:tcW w:w="758" w:type="pct"/>
          </w:tcPr>
          <w:p>
            <w:pPr>
              <w:widowControl/>
              <w:spacing w:line="360" w:lineRule="exact"/>
              <w:jc w:val="center"/>
              <w:rPr>
                <w:szCs w:val="21"/>
              </w:rPr>
            </w:pPr>
            <w:r>
              <w:rPr>
                <w:szCs w:val="21"/>
              </w:rPr>
              <w:t>≤100</w:t>
            </w:r>
          </w:p>
        </w:tc>
        <w:tc>
          <w:tcPr>
            <w:tcW w:w="872" w:type="pct"/>
          </w:tcPr>
          <w:p>
            <w:pPr>
              <w:widowControl/>
              <w:spacing w:line="360" w:lineRule="exact"/>
              <w:jc w:val="center"/>
              <w:rPr>
                <w:szCs w:val="21"/>
              </w:rPr>
            </w:pPr>
            <w:r>
              <w:rPr>
                <w:szCs w:val="21"/>
              </w:rPr>
              <w:t>≤3.0</w:t>
            </w:r>
          </w:p>
        </w:tc>
        <w:tc>
          <w:tcPr>
            <w:tcW w:w="633" w:type="pct"/>
          </w:tcPr>
          <w:p>
            <w:pPr>
              <w:widowControl/>
              <w:spacing w:line="360" w:lineRule="exact"/>
              <w:jc w:val="center"/>
              <w:rPr>
                <w:szCs w:val="21"/>
              </w:rPr>
            </w:pPr>
          </w:p>
        </w:tc>
        <w:tc>
          <w:tcPr>
            <w:tcW w:w="872" w:type="pct"/>
          </w:tcPr>
          <w:p>
            <w:pPr>
              <w:widowControl/>
              <w:spacing w:line="360" w:lineRule="exact"/>
              <w:jc w:val="center"/>
              <w:rPr>
                <w:szCs w:val="21"/>
              </w:rPr>
            </w:pPr>
          </w:p>
        </w:tc>
        <w:tc>
          <w:tcPr>
            <w:tcW w:w="662" w:type="pct"/>
          </w:tcPr>
          <w:p>
            <w:pPr>
              <w:widowControl/>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tcPr>
          <w:p>
            <w:pPr>
              <w:widowControl/>
              <w:spacing w:line="360" w:lineRule="exact"/>
              <w:jc w:val="center"/>
              <w:rPr>
                <w:szCs w:val="21"/>
              </w:rPr>
            </w:pPr>
            <w:r>
              <w:rPr>
                <w:rFonts w:hint="eastAsia"/>
                <w:szCs w:val="21"/>
              </w:rPr>
              <w:t>注：总大肠菌群单位为</w:t>
            </w:r>
            <w:r>
              <w:rPr>
                <w:szCs w:val="21"/>
              </w:rPr>
              <w:t>MPN</w:t>
            </w:r>
            <w:r>
              <w:rPr>
                <w:szCs w:val="21"/>
                <w:vertAlign w:val="superscript"/>
              </w:rPr>
              <w:t>b</w:t>
            </w:r>
            <w:r>
              <w:rPr>
                <w:szCs w:val="21"/>
              </w:rPr>
              <w:t>/100mL</w:t>
            </w:r>
            <w:r>
              <w:rPr>
                <w:rFonts w:hint="eastAsia"/>
                <w:szCs w:val="21"/>
              </w:rPr>
              <w:t>、菌落总数单位为C</w:t>
            </w:r>
            <w:r>
              <w:rPr>
                <w:szCs w:val="21"/>
              </w:rPr>
              <w:t>FU/</w:t>
            </w:r>
            <w:r>
              <w:rPr>
                <w:rFonts w:hint="eastAsia"/>
                <w:szCs w:val="21"/>
              </w:rPr>
              <w:t>m</w:t>
            </w:r>
            <w:r>
              <w:rPr>
                <w:szCs w:val="21"/>
              </w:rPr>
              <w:t>L</w:t>
            </w:r>
            <w:r>
              <w:rPr>
                <w:rFonts w:hint="eastAsia"/>
                <w:szCs w:val="21"/>
              </w:rPr>
              <w:t>。</w:t>
            </w:r>
          </w:p>
        </w:tc>
      </w:tr>
    </w:tbl>
    <w:p>
      <w:pPr>
        <w:spacing w:line="480" w:lineRule="exact"/>
        <w:outlineLvl w:val="3"/>
        <w:rPr>
          <w:rFonts w:eastAsia="黑体"/>
          <w:color w:val="000000"/>
          <w:sz w:val="24"/>
          <w:szCs w:val="21"/>
        </w:rPr>
      </w:pPr>
      <w:r>
        <w:rPr>
          <w:rFonts w:hint="eastAsia" w:eastAsia="黑体"/>
          <w:color w:val="000000"/>
          <w:sz w:val="24"/>
          <w:szCs w:val="21"/>
        </w:rPr>
        <w:t>1.2.3.4</w:t>
      </w:r>
      <w:r>
        <w:rPr>
          <w:rFonts w:eastAsia="黑体"/>
          <w:color w:val="000000"/>
          <w:sz w:val="24"/>
          <w:szCs w:val="21"/>
        </w:rPr>
        <w:t>评价方法</w:t>
      </w:r>
    </w:p>
    <w:p>
      <w:pPr>
        <w:adjustRightInd w:val="0"/>
        <w:snapToGrid w:val="0"/>
        <w:spacing w:line="480" w:lineRule="exact"/>
        <w:ind w:firstLine="496" w:firstLineChars="200"/>
        <w:rPr>
          <w:color w:val="000000"/>
          <w:spacing w:val="4"/>
          <w:sz w:val="24"/>
        </w:rPr>
      </w:pPr>
      <w:r>
        <w:rPr>
          <w:color w:val="000000"/>
          <w:spacing w:val="4"/>
          <w:sz w:val="24"/>
        </w:rPr>
        <w:t>采用单因子指数法进行评价。</w:t>
      </w:r>
    </w:p>
    <w:p>
      <w:pPr>
        <w:adjustRightInd w:val="0"/>
        <w:snapToGrid w:val="0"/>
        <w:spacing w:line="480" w:lineRule="exact"/>
        <w:ind w:firstLine="480" w:firstLineChars="200"/>
        <w:rPr>
          <w:color w:val="000000"/>
          <w:sz w:val="24"/>
        </w:rPr>
      </w:pPr>
      <w:r>
        <w:rPr>
          <w:rFonts w:hint="eastAsia" w:ascii="宋体" w:hAnsi="宋体" w:cs="宋体"/>
          <w:color w:val="000000"/>
          <w:sz w:val="24"/>
        </w:rPr>
        <w:t>①</w:t>
      </w:r>
      <w:r>
        <w:rPr>
          <w:color w:val="000000"/>
          <w:sz w:val="24"/>
        </w:rPr>
        <w:t>PH值的计算公式：P</w:t>
      </w:r>
      <w:r>
        <w:rPr>
          <w:color w:val="000000"/>
          <w:sz w:val="24"/>
          <w:vertAlign w:val="subscript"/>
        </w:rPr>
        <w:t>i</w:t>
      </w:r>
      <w:r>
        <w:rPr>
          <w:color w:val="000000"/>
          <w:sz w:val="24"/>
        </w:rPr>
        <w:t>=(PH</w:t>
      </w:r>
      <w:r>
        <w:rPr>
          <w:color w:val="000000"/>
          <w:sz w:val="24"/>
          <w:vertAlign w:val="subscript"/>
        </w:rPr>
        <w:t>i</w:t>
      </w:r>
      <w:r>
        <w:rPr>
          <w:color w:val="000000"/>
          <w:sz w:val="24"/>
        </w:rPr>
        <w:t>－7)/(PHSU－7)      PH</w:t>
      </w:r>
      <w:r>
        <w:rPr>
          <w:color w:val="000000"/>
          <w:sz w:val="24"/>
          <w:vertAlign w:val="subscript"/>
        </w:rPr>
        <w:t>i</w:t>
      </w:r>
      <w:r>
        <w:rPr>
          <w:color w:val="000000"/>
          <w:sz w:val="24"/>
        </w:rPr>
        <w:t>&gt;7时；</w:t>
      </w:r>
    </w:p>
    <w:p>
      <w:pPr>
        <w:adjustRightInd w:val="0"/>
        <w:snapToGrid w:val="0"/>
        <w:spacing w:line="480" w:lineRule="exact"/>
        <w:ind w:firstLine="480" w:firstLineChars="200"/>
        <w:rPr>
          <w:color w:val="000000"/>
          <w:sz w:val="24"/>
        </w:rPr>
      </w:pPr>
      <w:r>
        <w:rPr>
          <w:color w:val="000000"/>
          <w:sz w:val="24"/>
        </w:rPr>
        <w:t xml:space="preserve">                  Pi=(7－PH</w:t>
      </w:r>
      <w:r>
        <w:rPr>
          <w:color w:val="000000"/>
          <w:sz w:val="24"/>
          <w:vertAlign w:val="subscript"/>
        </w:rPr>
        <w:t>i</w:t>
      </w:r>
      <w:r>
        <w:rPr>
          <w:color w:val="000000"/>
          <w:sz w:val="24"/>
        </w:rPr>
        <w:t>)/(7－PHSD)       PH</w:t>
      </w:r>
      <w:r>
        <w:rPr>
          <w:color w:val="000000"/>
          <w:sz w:val="24"/>
          <w:vertAlign w:val="subscript"/>
        </w:rPr>
        <w:t>i</w:t>
      </w:r>
      <w:r>
        <w:rPr>
          <w:color w:val="000000"/>
          <w:sz w:val="24"/>
        </w:rPr>
        <w:t>≤7时。</w:t>
      </w:r>
    </w:p>
    <w:p>
      <w:pPr>
        <w:adjustRightInd w:val="0"/>
        <w:snapToGrid w:val="0"/>
        <w:spacing w:line="480" w:lineRule="exact"/>
        <w:ind w:firstLine="1200" w:firstLineChars="500"/>
        <w:rPr>
          <w:color w:val="000000"/>
          <w:sz w:val="24"/>
        </w:rPr>
      </w:pPr>
      <w:r>
        <w:rPr>
          <w:color w:val="000000"/>
          <w:sz w:val="24"/>
        </w:rPr>
        <w:t>其中：    PH</w:t>
      </w:r>
      <w:r>
        <w:rPr>
          <w:color w:val="000000"/>
          <w:sz w:val="24"/>
          <w:vertAlign w:val="subscript"/>
        </w:rPr>
        <w:t>i</w:t>
      </w:r>
      <w:r>
        <w:rPr>
          <w:color w:val="000000"/>
          <w:sz w:val="24"/>
        </w:rPr>
        <w:t>---i污染物的实际值；</w:t>
      </w:r>
    </w:p>
    <w:p>
      <w:pPr>
        <w:adjustRightInd w:val="0"/>
        <w:snapToGrid w:val="0"/>
        <w:spacing w:line="480" w:lineRule="exact"/>
        <w:ind w:firstLine="2400" w:firstLineChars="1000"/>
        <w:rPr>
          <w:color w:val="000000"/>
          <w:sz w:val="24"/>
        </w:rPr>
      </w:pPr>
      <w:r>
        <w:rPr>
          <w:color w:val="000000"/>
          <w:sz w:val="24"/>
        </w:rPr>
        <w:t>PHSU---标准浓度上限值；</w:t>
      </w:r>
    </w:p>
    <w:p>
      <w:pPr>
        <w:adjustRightInd w:val="0"/>
        <w:snapToGrid w:val="0"/>
        <w:spacing w:line="480" w:lineRule="exact"/>
        <w:ind w:firstLine="2400" w:firstLineChars="1000"/>
        <w:rPr>
          <w:color w:val="000000"/>
          <w:sz w:val="24"/>
        </w:rPr>
      </w:pPr>
      <w:r>
        <w:rPr>
          <w:color w:val="000000"/>
          <w:sz w:val="24"/>
        </w:rPr>
        <w:t>PHSD---标准浓度下限值。</w:t>
      </w:r>
    </w:p>
    <w:p>
      <w:pPr>
        <w:adjustRightInd w:val="0"/>
        <w:snapToGrid w:val="0"/>
        <w:spacing w:line="480" w:lineRule="exact"/>
        <w:ind w:firstLine="480" w:firstLineChars="200"/>
        <w:rPr>
          <w:color w:val="000000"/>
          <w:sz w:val="24"/>
        </w:rPr>
      </w:pPr>
      <w:r>
        <w:rPr>
          <w:rFonts w:hint="eastAsia" w:ascii="宋体" w:hAnsi="宋体" w:cs="宋体"/>
          <w:color w:val="000000"/>
          <w:sz w:val="24"/>
        </w:rPr>
        <w:t>②</w:t>
      </w:r>
      <w:r>
        <w:rPr>
          <w:color w:val="000000"/>
          <w:sz w:val="24"/>
        </w:rPr>
        <w:t>其他项目计算公式：P</w:t>
      </w:r>
      <w:r>
        <w:rPr>
          <w:color w:val="000000"/>
          <w:sz w:val="24"/>
          <w:vertAlign w:val="subscript"/>
        </w:rPr>
        <w:t>i</w:t>
      </w:r>
      <w:r>
        <w:rPr>
          <w:color w:val="000000"/>
          <w:sz w:val="24"/>
        </w:rPr>
        <w:t>=C</w:t>
      </w:r>
      <w:r>
        <w:rPr>
          <w:color w:val="000000"/>
          <w:sz w:val="24"/>
          <w:vertAlign w:val="subscript"/>
        </w:rPr>
        <w:t>i</w:t>
      </w:r>
      <w:r>
        <w:rPr>
          <w:color w:val="000000"/>
          <w:sz w:val="24"/>
        </w:rPr>
        <w:t>/Co</w:t>
      </w:r>
      <w:r>
        <w:rPr>
          <w:color w:val="000000"/>
          <w:sz w:val="24"/>
          <w:vertAlign w:val="subscript"/>
        </w:rPr>
        <w:t>i</w:t>
      </w:r>
    </w:p>
    <w:p>
      <w:pPr>
        <w:adjustRightInd w:val="0"/>
        <w:snapToGrid w:val="0"/>
        <w:spacing w:line="480" w:lineRule="exact"/>
        <w:ind w:firstLine="1200" w:firstLineChars="500"/>
        <w:rPr>
          <w:color w:val="000000"/>
          <w:sz w:val="24"/>
        </w:rPr>
      </w:pPr>
      <w:r>
        <w:rPr>
          <w:color w:val="000000"/>
          <w:sz w:val="24"/>
        </w:rPr>
        <w:t>其中：   P</w:t>
      </w:r>
      <w:r>
        <w:rPr>
          <w:color w:val="000000"/>
          <w:sz w:val="24"/>
          <w:vertAlign w:val="subscript"/>
        </w:rPr>
        <w:t>i</w:t>
      </w:r>
      <w:r>
        <w:rPr>
          <w:color w:val="000000"/>
          <w:sz w:val="24"/>
        </w:rPr>
        <w:t xml:space="preserve"> ---i 污染物单因子指数；</w:t>
      </w:r>
    </w:p>
    <w:p>
      <w:pPr>
        <w:adjustRightInd w:val="0"/>
        <w:snapToGrid w:val="0"/>
        <w:spacing w:line="480" w:lineRule="exact"/>
        <w:ind w:firstLine="480" w:firstLineChars="200"/>
        <w:rPr>
          <w:color w:val="000000"/>
          <w:sz w:val="24"/>
        </w:rPr>
      </w:pPr>
      <w:r>
        <w:rPr>
          <w:color w:val="000000"/>
          <w:sz w:val="24"/>
        </w:rPr>
        <w:t xml:space="preserve">               C</w:t>
      </w:r>
      <w:r>
        <w:rPr>
          <w:color w:val="000000"/>
          <w:sz w:val="24"/>
          <w:vertAlign w:val="subscript"/>
        </w:rPr>
        <w:t>i</w:t>
      </w:r>
      <w:r>
        <w:rPr>
          <w:color w:val="000000"/>
          <w:sz w:val="24"/>
        </w:rPr>
        <w:t>---i 污染物的实际浓度；</w:t>
      </w:r>
    </w:p>
    <w:p>
      <w:pPr>
        <w:adjustRightInd w:val="0"/>
        <w:snapToGrid w:val="0"/>
        <w:spacing w:line="480" w:lineRule="exact"/>
        <w:ind w:firstLine="480" w:firstLineChars="200"/>
        <w:rPr>
          <w:color w:val="000000"/>
          <w:sz w:val="24"/>
        </w:rPr>
      </w:pPr>
      <w:r>
        <w:rPr>
          <w:color w:val="000000"/>
          <w:sz w:val="24"/>
        </w:rPr>
        <w:t xml:space="preserve">               Co</w:t>
      </w:r>
      <w:r>
        <w:rPr>
          <w:color w:val="000000"/>
          <w:sz w:val="24"/>
          <w:vertAlign w:val="subscript"/>
        </w:rPr>
        <w:t>i</w:t>
      </w:r>
      <w:r>
        <w:rPr>
          <w:color w:val="000000"/>
          <w:sz w:val="24"/>
        </w:rPr>
        <w:t>--- I污染物的评价标准。</w:t>
      </w:r>
    </w:p>
    <w:p>
      <w:pPr>
        <w:snapToGrid w:val="0"/>
        <w:spacing w:line="480" w:lineRule="exact"/>
        <w:ind w:firstLine="480" w:firstLineChars="200"/>
        <w:rPr>
          <w:color w:val="000000"/>
          <w:sz w:val="24"/>
        </w:rPr>
      </w:pPr>
      <w:r>
        <w:rPr>
          <w:color w:val="000000"/>
          <w:sz w:val="24"/>
        </w:rPr>
        <w:t>Pi＞1，表明该水质参数超过了规定的水质标准，已经不能满足使用要求。</w:t>
      </w:r>
    </w:p>
    <w:p>
      <w:pPr>
        <w:spacing w:line="480" w:lineRule="exact"/>
        <w:outlineLvl w:val="3"/>
        <w:rPr>
          <w:rFonts w:eastAsia="黑体"/>
          <w:color w:val="000000"/>
          <w:sz w:val="24"/>
          <w:szCs w:val="21"/>
        </w:rPr>
      </w:pPr>
      <w:r>
        <w:rPr>
          <w:rFonts w:hint="eastAsia" w:eastAsia="黑体"/>
          <w:color w:val="000000"/>
          <w:sz w:val="24"/>
          <w:szCs w:val="21"/>
        </w:rPr>
        <w:t>1.2.3.5</w:t>
      </w:r>
      <w:r>
        <w:rPr>
          <w:rFonts w:eastAsia="黑体"/>
          <w:color w:val="000000"/>
          <w:sz w:val="24"/>
          <w:szCs w:val="21"/>
        </w:rPr>
        <w:t>评价结果</w:t>
      </w:r>
    </w:p>
    <w:p>
      <w:pPr>
        <w:spacing w:line="480" w:lineRule="exact"/>
        <w:ind w:firstLine="482"/>
        <w:rPr>
          <w:color w:val="000000"/>
          <w:spacing w:val="4"/>
          <w:sz w:val="24"/>
        </w:rPr>
      </w:pPr>
      <w:r>
        <w:rPr>
          <w:rFonts w:hint="eastAsia"/>
          <w:color w:val="000000"/>
          <w:spacing w:val="4"/>
          <w:sz w:val="24"/>
        </w:rPr>
        <w:t>地下水监测点位水文资料调查结果见1-6。</w:t>
      </w:r>
    </w:p>
    <w:p>
      <w:pPr>
        <w:spacing w:line="480" w:lineRule="exact"/>
        <w:ind w:firstLine="482" w:firstLineChars="20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表1-6地下水监测点位水文资料调查结果一览表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编号</w:t>
            </w:r>
          </w:p>
        </w:tc>
        <w:tc>
          <w:tcPr>
            <w:tcW w:w="2321"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监测点名称</w:t>
            </w:r>
          </w:p>
        </w:tc>
        <w:tc>
          <w:tcPr>
            <w:tcW w:w="2322"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井深m</w:t>
            </w:r>
          </w:p>
        </w:tc>
        <w:tc>
          <w:tcPr>
            <w:tcW w:w="2322"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水位m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p>
        </w:tc>
        <w:tc>
          <w:tcPr>
            <w:tcW w:w="2321"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上游企业自备水井</w:t>
            </w:r>
          </w:p>
        </w:tc>
        <w:tc>
          <w:tcPr>
            <w:tcW w:w="2322"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80</w:t>
            </w:r>
          </w:p>
        </w:tc>
        <w:tc>
          <w:tcPr>
            <w:tcW w:w="2322"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w:t>
            </w:r>
          </w:p>
        </w:tc>
        <w:tc>
          <w:tcPr>
            <w:tcW w:w="2321"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下游企业自备水井</w:t>
            </w:r>
          </w:p>
        </w:tc>
        <w:tc>
          <w:tcPr>
            <w:tcW w:w="2322"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70</w:t>
            </w:r>
          </w:p>
        </w:tc>
        <w:tc>
          <w:tcPr>
            <w:tcW w:w="2322"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w:t>
            </w:r>
          </w:p>
        </w:tc>
        <w:tc>
          <w:tcPr>
            <w:tcW w:w="2321"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后石湖村水井</w:t>
            </w:r>
          </w:p>
        </w:tc>
        <w:tc>
          <w:tcPr>
            <w:tcW w:w="2322"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65</w:t>
            </w:r>
          </w:p>
        </w:tc>
        <w:tc>
          <w:tcPr>
            <w:tcW w:w="2322"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35</w:t>
            </w:r>
          </w:p>
        </w:tc>
      </w:tr>
    </w:tbl>
    <w:p>
      <w:pPr>
        <w:spacing w:line="480" w:lineRule="exact"/>
        <w:ind w:firstLine="482"/>
        <w:rPr>
          <w:color w:val="000000"/>
          <w:spacing w:val="4"/>
          <w:sz w:val="24"/>
        </w:rPr>
      </w:pPr>
      <w:r>
        <w:rPr>
          <w:color w:val="000000"/>
          <w:spacing w:val="4"/>
          <w:sz w:val="24"/>
        </w:rPr>
        <w:t>地下水现状评价结果列于表</w:t>
      </w:r>
      <w:r>
        <w:rPr>
          <w:rFonts w:hint="eastAsia"/>
          <w:color w:val="000000"/>
          <w:spacing w:val="4"/>
          <w:sz w:val="24"/>
        </w:rPr>
        <w:t>1-7、1-8</w:t>
      </w:r>
      <w:r>
        <w:rPr>
          <w:color w:val="000000"/>
          <w:spacing w:val="4"/>
          <w:sz w:val="24"/>
        </w:rPr>
        <w:t>。</w:t>
      </w:r>
    </w:p>
    <w:p>
      <w:pPr>
        <w:spacing w:line="480" w:lineRule="exact"/>
        <w:ind w:firstLine="482" w:firstLineChars="20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表1-7地下水水质监测结果（八大离子）一览表mg/L</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1047"/>
        <w:gridCol w:w="928"/>
        <w:gridCol w:w="928"/>
        <w:gridCol w:w="929"/>
        <w:gridCol w:w="929"/>
        <w:gridCol w:w="929"/>
        <w:gridCol w:w="929"/>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09" w:type="dxa"/>
            <w:vMerge w:val="restar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监测日期</w:t>
            </w:r>
          </w:p>
        </w:tc>
        <w:tc>
          <w:tcPr>
            <w:tcW w:w="1047" w:type="dxa"/>
            <w:vMerge w:val="restar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点位</w:t>
            </w:r>
          </w:p>
        </w:tc>
        <w:tc>
          <w:tcPr>
            <w:tcW w:w="7430" w:type="dxa"/>
            <w:gridSpan w:val="8"/>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09" w:type="dxa"/>
            <w:vMerge w:val="continue"/>
            <w:vAlign w:val="center"/>
          </w:tcPr>
          <w:p>
            <w:pPr>
              <w:jc w:val="center"/>
              <w:rPr>
                <w:bCs/>
                <w:color w:val="000000" w:themeColor="text1"/>
                <w:szCs w:val="21"/>
                <w14:textFill>
                  <w14:solidFill>
                    <w14:schemeClr w14:val="tx1"/>
                  </w14:solidFill>
                </w14:textFill>
              </w:rPr>
            </w:pPr>
          </w:p>
        </w:tc>
        <w:tc>
          <w:tcPr>
            <w:tcW w:w="1047" w:type="dxa"/>
            <w:vMerge w:val="continue"/>
            <w:vAlign w:val="center"/>
          </w:tcPr>
          <w:p>
            <w:pPr>
              <w:jc w:val="center"/>
              <w:rPr>
                <w:bCs/>
                <w:color w:val="000000" w:themeColor="text1"/>
                <w:szCs w:val="21"/>
                <w14:textFill>
                  <w14:solidFill>
                    <w14:schemeClr w14:val="tx1"/>
                  </w14:solidFill>
                </w14:textFill>
              </w:rPr>
            </w:pPr>
          </w:p>
        </w:tc>
        <w:tc>
          <w:tcPr>
            <w:tcW w:w="928"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Ca</w:t>
            </w:r>
            <w:r>
              <w:rPr>
                <w:rFonts w:hint="eastAsia"/>
                <w:bCs/>
                <w:color w:val="000000" w:themeColor="text1"/>
                <w:szCs w:val="21"/>
                <w:vertAlign w:val="superscript"/>
                <w14:textFill>
                  <w14:solidFill>
                    <w14:schemeClr w14:val="tx1"/>
                  </w14:solidFill>
                </w14:textFill>
              </w:rPr>
              <w:t>+</w:t>
            </w:r>
          </w:p>
        </w:tc>
        <w:tc>
          <w:tcPr>
            <w:tcW w:w="928"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Mg</w:t>
            </w:r>
            <w:r>
              <w:rPr>
                <w:rFonts w:hint="eastAsia"/>
                <w:bCs/>
                <w:color w:val="000000" w:themeColor="text1"/>
                <w:szCs w:val="21"/>
                <w:vertAlign w:val="superscript"/>
                <w14:textFill>
                  <w14:solidFill>
                    <w14:schemeClr w14:val="tx1"/>
                  </w14:solidFill>
                </w14:textFill>
              </w:rPr>
              <w:t>2+</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K</w:t>
            </w:r>
            <w:r>
              <w:rPr>
                <w:rFonts w:hint="eastAsia"/>
                <w:bCs/>
                <w:color w:val="000000" w:themeColor="text1"/>
                <w:szCs w:val="21"/>
                <w:vertAlign w:val="superscript"/>
                <w14:textFill>
                  <w14:solidFill>
                    <w14:schemeClr w14:val="tx1"/>
                  </w14:solidFill>
                </w14:textFill>
              </w:rPr>
              <w:t>+</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Na</w:t>
            </w:r>
            <w:r>
              <w:rPr>
                <w:rFonts w:hint="eastAsia"/>
                <w:bCs/>
                <w:color w:val="000000" w:themeColor="text1"/>
                <w:szCs w:val="21"/>
                <w:vertAlign w:val="superscript"/>
                <w14:textFill>
                  <w14:solidFill>
                    <w14:schemeClr w14:val="tx1"/>
                  </w14:solidFill>
                </w14:textFill>
              </w:rPr>
              <w:t>+</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Cl</w:t>
            </w:r>
            <w:r>
              <w:rPr>
                <w:rFonts w:hint="eastAsia"/>
                <w:bCs/>
                <w:color w:val="000000" w:themeColor="text1"/>
                <w:szCs w:val="21"/>
                <w:vertAlign w:val="superscript"/>
                <w14:textFill>
                  <w14:solidFill>
                    <w14:schemeClr w14:val="tx1"/>
                  </w14:solidFill>
                </w14:textFill>
              </w:rPr>
              <w:t>-</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SO</w:t>
            </w:r>
            <w:r>
              <w:rPr>
                <w:rFonts w:hint="eastAsia"/>
                <w:bCs/>
                <w:color w:val="000000" w:themeColor="text1"/>
                <w:szCs w:val="21"/>
                <w:vertAlign w:val="subscript"/>
                <w14:textFill>
                  <w14:solidFill>
                    <w14:schemeClr w14:val="tx1"/>
                  </w14:solidFill>
                </w14:textFill>
              </w:rPr>
              <w:t>4</w:t>
            </w:r>
            <w:r>
              <w:rPr>
                <w:rFonts w:hint="eastAsia"/>
                <w:bCs/>
                <w:color w:val="000000" w:themeColor="text1"/>
                <w:szCs w:val="21"/>
                <w:vertAlign w:val="superscript"/>
                <w14:textFill>
                  <w14:solidFill>
                    <w14:schemeClr w14:val="tx1"/>
                  </w14:solidFill>
                </w14:textFill>
              </w:rPr>
              <w:t>2-</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HCO</w:t>
            </w:r>
            <w:r>
              <w:rPr>
                <w:rFonts w:hint="eastAsia"/>
                <w:bCs/>
                <w:color w:val="000000" w:themeColor="text1"/>
                <w:szCs w:val="21"/>
                <w:vertAlign w:val="subscript"/>
                <w14:textFill>
                  <w14:solidFill>
                    <w14:schemeClr w14:val="tx1"/>
                  </w14:solidFill>
                </w14:textFill>
              </w:rPr>
              <w:t>3</w:t>
            </w:r>
            <w:r>
              <w:rPr>
                <w:rFonts w:hint="eastAsia"/>
                <w:bCs/>
                <w:color w:val="000000" w:themeColor="text1"/>
                <w:szCs w:val="21"/>
                <w:vertAlign w:val="superscript"/>
                <w14:textFill>
                  <w14:solidFill>
                    <w14:schemeClr w14:val="tx1"/>
                  </w14:solidFill>
                </w14:textFill>
              </w:rPr>
              <w:t>-</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CO</w:t>
            </w:r>
            <w:r>
              <w:rPr>
                <w:rFonts w:hint="eastAsia"/>
                <w:bCs/>
                <w:color w:val="000000" w:themeColor="text1"/>
                <w:szCs w:val="21"/>
                <w:vertAlign w:val="subscript"/>
                <w14:textFill>
                  <w14:solidFill>
                    <w14:schemeClr w14:val="tx1"/>
                  </w14:solidFill>
                </w14:textFill>
              </w:rPr>
              <w:t>3</w:t>
            </w:r>
            <w:r>
              <w:rPr>
                <w:rFonts w:hint="eastAsia"/>
                <w:bCs/>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Merge w:val="restar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12.1</w:t>
            </w:r>
          </w:p>
        </w:tc>
        <w:tc>
          <w:tcPr>
            <w:tcW w:w="1047"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上游企业自备水井</w:t>
            </w:r>
          </w:p>
        </w:tc>
        <w:tc>
          <w:tcPr>
            <w:tcW w:w="928"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64.1</w:t>
            </w:r>
          </w:p>
        </w:tc>
        <w:tc>
          <w:tcPr>
            <w:tcW w:w="928"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20.6</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1.59</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13.6</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7.42</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96.8</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189</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Merge w:val="continue"/>
            <w:vAlign w:val="center"/>
          </w:tcPr>
          <w:p>
            <w:pPr>
              <w:jc w:val="center"/>
              <w:rPr>
                <w:bCs/>
                <w:color w:val="000000" w:themeColor="text1"/>
                <w:szCs w:val="21"/>
                <w14:textFill>
                  <w14:solidFill>
                    <w14:schemeClr w14:val="tx1"/>
                  </w14:solidFill>
                </w14:textFill>
              </w:rPr>
            </w:pPr>
          </w:p>
        </w:tc>
        <w:tc>
          <w:tcPr>
            <w:tcW w:w="1047"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下游企业自备水井</w:t>
            </w:r>
          </w:p>
        </w:tc>
        <w:tc>
          <w:tcPr>
            <w:tcW w:w="928"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80.7</w:t>
            </w:r>
          </w:p>
        </w:tc>
        <w:tc>
          <w:tcPr>
            <w:tcW w:w="928"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17.4</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2.15</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9.08</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6.55</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84.3</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214</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Merge w:val="continue"/>
            <w:vAlign w:val="center"/>
          </w:tcPr>
          <w:p>
            <w:pPr>
              <w:jc w:val="center"/>
              <w:rPr>
                <w:bCs/>
                <w:color w:val="000000" w:themeColor="text1"/>
                <w:szCs w:val="21"/>
                <w14:textFill>
                  <w14:solidFill>
                    <w14:schemeClr w14:val="tx1"/>
                  </w14:solidFill>
                </w14:textFill>
              </w:rPr>
            </w:pPr>
          </w:p>
        </w:tc>
        <w:tc>
          <w:tcPr>
            <w:tcW w:w="1047" w:type="dxa"/>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后石湖村水井</w:t>
            </w:r>
          </w:p>
        </w:tc>
        <w:tc>
          <w:tcPr>
            <w:tcW w:w="928"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60.7</w:t>
            </w:r>
          </w:p>
        </w:tc>
        <w:tc>
          <w:tcPr>
            <w:tcW w:w="928"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1.6</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2.50</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11.0</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7.08</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100</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168</w:t>
            </w:r>
          </w:p>
        </w:tc>
        <w:tc>
          <w:tcPr>
            <w:tcW w:w="92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5L</w:t>
            </w:r>
          </w:p>
        </w:tc>
      </w:tr>
    </w:tbl>
    <w:p>
      <w:pPr>
        <w:spacing w:line="480" w:lineRule="exact"/>
        <w:ind w:firstLine="482" w:firstLineChars="200"/>
        <w:jc w:val="center"/>
        <w:rPr>
          <w:b/>
          <w:bCs/>
          <w:color w:val="000000" w:themeColor="text1"/>
          <w:sz w:val="24"/>
          <w14:textFill>
            <w14:solidFill>
              <w14:schemeClr w14:val="tx1"/>
            </w14:solidFill>
          </w14:textFill>
        </w:rPr>
        <w:sectPr>
          <w:pgSz w:w="11906" w:h="16838"/>
          <w:pgMar w:top="1440" w:right="1418" w:bottom="1440" w:left="1418" w:header="851" w:footer="992" w:gutter="0"/>
          <w:cols w:space="720" w:num="1"/>
          <w:docGrid w:type="lines" w:linePitch="312" w:charSpace="0"/>
        </w:sectPr>
      </w:pPr>
    </w:p>
    <w:p>
      <w:pPr>
        <w:adjustRightInd w:val="0"/>
        <w:snapToGrid w:val="0"/>
        <w:jc w:val="center"/>
        <w:textAlignment w:val="baseline"/>
        <w:rPr>
          <w:b/>
          <w:color w:val="000000"/>
          <w:sz w:val="24"/>
        </w:rPr>
      </w:pPr>
      <w:r>
        <w:rPr>
          <w:rFonts w:hint="eastAsia"/>
          <w:b/>
          <w:color w:val="000000"/>
          <w:sz w:val="24"/>
        </w:rPr>
        <w:t>表1-8 地下水现状监测结果表（单位：mg/L，PH无量纲）</w:t>
      </w:r>
    </w:p>
    <w:tbl>
      <w:tblPr>
        <w:tblStyle w:val="32"/>
        <w:tblW w:w="4996"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1"/>
        <w:gridCol w:w="853"/>
        <w:gridCol w:w="1244"/>
        <w:gridCol w:w="916"/>
        <w:gridCol w:w="972"/>
        <w:gridCol w:w="975"/>
        <w:gridCol w:w="950"/>
        <w:gridCol w:w="1100"/>
        <w:gridCol w:w="1154"/>
        <w:gridCol w:w="961"/>
        <w:gridCol w:w="1168"/>
        <w:gridCol w:w="916"/>
        <w:gridCol w:w="15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 w:type="pct"/>
            <w:gridSpan w:val="2"/>
            <w:vAlign w:val="center"/>
          </w:tcPr>
          <w:p>
            <w:pPr>
              <w:snapToGrid w:val="0"/>
              <w:jc w:val="center"/>
              <w:rPr>
                <w:sz w:val="18"/>
                <w:szCs w:val="18"/>
              </w:rPr>
            </w:pPr>
            <w:r>
              <w:rPr>
                <w:sz w:val="18"/>
                <w:szCs w:val="18"/>
              </w:rPr>
              <w:t>采样</w:t>
            </w:r>
          </w:p>
          <w:p>
            <w:pPr>
              <w:snapToGrid w:val="0"/>
              <w:jc w:val="center"/>
              <w:rPr>
                <w:sz w:val="18"/>
                <w:szCs w:val="18"/>
              </w:rPr>
            </w:pPr>
            <w:r>
              <w:rPr>
                <w:sz w:val="18"/>
                <w:szCs w:val="18"/>
              </w:rPr>
              <w:t>点位</w:t>
            </w:r>
          </w:p>
        </w:tc>
        <w:tc>
          <w:tcPr>
            <w:tcW w:w="301" w:type="pct"/>
            <w:vAlign w:val="center"/>
          </w:tcPr>
          <w:p>
            <w:pPr>
              <w:snapToGrid w:val="0"/>
              <w:jc w:val="center"/>
              <w:rPr>
                <w:sz w:val="18"/>
                <w:szCs w:val="18"/>
              </w:rPr>
            </w:pPr>
            <w:r>
              <w:rPr>
                <w:sz w:val="18"/>
                <w:szCs w:val="18"/>
              </w:rPr>
              <w:t>采样</w:t>
            </w:r>
          </w:p>
          <w:p>
            <w:pPr>
              <w:snapToGrid w:val="0"/>
              <w:jc w:val="center"/>
              <w:rPr>
                <w:sz w:val="18"/>
                <w:szCs w:val="18"/>
              </w:rPr>
            </w:pPr>
            <w:r>
              <w:rPr>
                <w:sz w:val="18"/>
                <w:szCs w:val="18"/>
              </w:rPr>
              <w:t>日期</w:t>
            </w:r>
          </w:p>
        </w:tc>
        <w:tc>
          <w:tcPr>
            <w:tcW w:w="439" w:type="pct"/>
            <w:vAlign w:val="center"/>
          </w:tcPr>
          <w:p>
            <w:pPr>
              <w:snapToGrid w:val="0"/>
              <w:jc w:val="center"/>
              <w:rPr>
                <w:sz w:val="18"/>
                <w:szCs w:val="18"/>
              </w:rPr>
            </w:pPr>
            <w:r>
              <w:rPr>
                <w:sz w:val="18"/>
                <w:szCs w:val="18"/>
              </w:rPr>
              <w:t>pH值</w:t>
            </w:r>
          </w:p>
        </w:tc>
        <w:tc>
          <w:tcPr>
            <w:tcW w:w="323" w:type="pct"/>
            <w:vAlign w:val="center"/>
          </w:tcPr>
          <w:p>
            <w:pPr>
              <w:snapToGrid w:val="0"/>
              <w:jc w:val="center"/>
              <w:rPr>
                <w:sz w:val="18"/>
                <w:szCs w:val="18"/>
              </w:rPr>
            </w:pPr>
            <w:r>
              <w:rPr>
                <w:rFonts w:hint="eastAsia"/>
                <w:sz w:val="18"/>
                <w:szCs w:val="18"/>
              </w:rPr>
              <w:t>氨氮</w:t>
            </w:r>
          </w:p>
        </w:tc>
        <w:tc>
          <w:tcPr>
            <w:tcW w:w="343" w:type="pct"/>
            <w:vAlign w:val="center"/>
          </w:tcPr>
          <w:p>
            <w:pPr>
              <w:snapToGrid w:val="0"/>
              <w:jc w:val="center"/>
              <w:rPr>
                <w:sz w:val="18"/>
                <w:szCs w:val="18"/>
              </w:rPr>
            </w:pPr>
            <w:r>
              <w:rPr>
                <w:rFonts w:hint="eastAsia"/>
                <w:sz w:val="18"/>
                <w:szCs w:val="18"/>
              </w:rPr>
              <w:t>硝酸盐</w:t>
            </w:r>
          </w:p>
        </w:tc>
        <w:tc>
          <w:tcPr>
            <w:tcW w:w="344" w:type="pct"/>
            <w:vAlign w:val="center"/>
          </w:tcPr>
          <w:p>
            <w:pPr>
              <w:pStyle w:val="24"/>
              <w:pBdr>
                <w:bottom w:val="none" w:color="auto" w:sz="0" w:space="0"/>
              </w:pBdr>
              <w:tabs>
                <w:tab w:val="clear" w:pos="4153"/>
                <w:tab w:val="clear" w:pos="8306"/>
              </w:tabs>
            </w:pPr>
            <w:r>
              <w:rPr>
                <w:rFonts w:hint="eastAsia"/>
              </w:rPr>
              <w:t>亚硝酸盐</w:t>
            </w:r>
          </w:p>
        </w:tc>
        <w:tc>
          <w:tcPr>
            <w:tcW w:w="335" w:type="pct"/>
            <w:vAlign w:val="center"/>
          </w:tcPr>
          <w:p>
            <w:pPr>
              <w:snapToGrid w:val="0"/>
              <w:jc w:val="center"/>
              <w:rPr>
                <w:sz w:val="18"/>
                <w:szCs w:val="18"/>
              </w:rPr>
            </w:pPr>
            <w:r>
              <w:rPr>
                <w:rFonts w:hint="eastAsia"/>
                <w:sz w:val="18"/>
                <w:szCs w:val="18"/>
              </w:rPr>
              <w:t>挥发酚</w:t>
            </w:r>
          </w:p>
        </w:tc>
        <w:tc>
          <w:tcPr>
            <w:tcW w:w="388" w:type="pct"/>
            <w:vAlign w:val="center"/>
          </w:tcPr>
          <w:p>
            <w:pPr>
              <w:snapToGrid w:val="0"/>
              <w:jc w:val="center"/>
              <w:rPr>
                <w:sz w:val="18"/>
                <w:szCs w:val="18"/>
              </w:rPr>
            </w:pPr>
            <w:r>
              <w:rPr>
                <w:rFonts w:hint="eastAsia"/>
                <w:sz w:val="18"/>
                <w:szCs w:val="18"/>
              </w:rPr>
              <w:t>氰化物</w:t>
            </w:r>
          </w:p>
        </w:tc>
        <w:tc>
          <w:tcPr>
            <w:tcW w:w="407" w:type="pct"/>
            <w:vAlign w:val="center"/>
          </w:tcPr>
          <w:p>
            <w:pPr>
              <w:snapToGrid w:val="0"/>
              <w:jc w:val="center"/>
              <w:rPr>
                <w:sz w:val="18"/>
                <w:szCs w:val="18"/>
              </w:rPr>
            </w:pPr>
            <w:r>
              <w:rPr>
                <w:sz w:val="18"/>
                <w:szCs w:val="18"/>
              </w:rPr>
              <w:t>砷μg/L</w:t>
            </w:r>
          </w:p>
        </w:tc>
        <w:tc>
          <w:tcPr>
            <w:tcW w:w="339" w:type="pct"/>
            <w:vAlign w:val="center"/>
          </w:tcPr>
          <w:p>
            <w:pPr>
              <w:snapToGrid w:val="0"/>
              <w:jc w:val="center"/>
              <w:rPr>
                <w:sz w:val="18"/>
                <w:szCs w:val="18"/>
              </w:rPr>
            </w:pPr>
            <w:r>
              <w:rPr>
                <w:rFonts w:hint="eastAsia"/>
                <w:sz w:val="18"/>
                <w:szCs w:val="18"/>
              </w:rPr>
              <w:t>汞</w:t>
            </w:r>
          </w:p>
        </w:tc>
        <w:tc>
          <w:tcPr>
            <w:tcW w:w="412" w:type="pct"/>
            <w:vAlign w:val="center"/>
          </w:tcPr>
          <w:p>
            <w:pPr>
              <w:snapToGrid w:val="0"/>
              <w:jc w:val="center"/>
              <w:rPr>
                <w:sz w:val="18"/>
                <w:szCs w:val="18"/>
              </w:rPr>
            </w:pPr>
            <w:r>
              <w:rPr>
                <w:rFonts w:hint="eastAsia"/>
                <w:sz w:val="18"/>
                <w:szCs w:val="18"/>
              </w:rPr>
              <w:t>六价铬</w:t>
            </w:r>
          </w:p>
        </w:tc>
        <w:tc>
          <w:tcPr>
            <w:tcW w:w="323" w:type="pct"/>
            <w:vAlign w:val="center"/>
          </w:tcPr>
          <w:p>
            <w:pPr>
              <w:snapToGrid w:val="0"/>
              <w:jc w:val="center"/>
              <w:rPr>
                <w:sz w:val="18"/>
                <w:szCs w:val="18"/>
              </w:rPr>
            </w:pPr>
            <w:r>
              <w:rPr>
                <w:rFonts w:hint="eastAsia"/>
                <w:sz w:val="18"/>
                <w:szCs w:val="18"/>
              </w:rPr>
              <w:t>总硬度</w:t>
            </w:r>
          </w:p>
        </w:tc>
        <w:tc>
          <w:tcPr>
            <w:tcW w:w="556" w:type="pct"/>
            <w:vAlign w:val="center"/>
          </w:tcPr>
          <w:p>
            <w:pPr>
              <w:snapToGrid w:val="0"/>
              <w:jc w:val="center"/>
              <w:rPr>
                <w:sz w:val="18"/>
                <w:szCs w:val="18"/>
              </w:rPr>
            </w:pPr>
            <w:r>
              <w:rPr>
                <w:rFonts w:hint="eastAsia"/>
                <w:sz w:val="18"/>
                <w:szCs w:val="18"/>
              </w:rPr>
              <w:t>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 w:type="pct"/>
            <w:gridSpan w:val="2"/>
            <w:vAlign w:val="center"/>
          </w:tcPr>
          <w:p>
            <w:pPr>
              <w:snapToGrid w:val="0"/>
              <w:jc w:val="center"/>
              <w:rPr>
                <w:sz w:val="18"/>
                <w:szCs w:val="18"/>
              </w:rPr>
            </w:pPr>
            <w:r>
              <w:rPr>
                <w:rFonts w:hint="eastAsia"/>
                <w:sz w:val="18"/>
                <w:szCs w:val="18"/>
              </w:rPr>
              <w:t>上游企业自备水井</w:t>
            </w:r>
          </w:p>
        </w:tc>
        <w:tc>
          <w:tcPr>
            <w:tcW w:w="301" w:type="pct"/>
            <w:vAlign w:val="center"/>
          </w:tcPr>
          <w:p>
            <w:pPr>
              <w:pStyle w:val="24"/>
              <w:pBdr>
                <w:bottom w:val="none" w:color="auto" w:sz="0" w:space="0"/>
              </w:pBdr>
              <w:tabs>
                <w:tab w:val="clear" w:pos="4153"/>
                <w:tab w:val="clear" w:pos="8306"/>
              </w:tabs>
            </w:pPr>
            <w:r>
              <w:rPr>
                <w:rFonts w:hint="eastAsia"/>
              </w:rPr>
              <w:t>12.20</w:t>
            </w:r>
          </w:p>
        </w:tc>
        <w:tc>
          <w:tcPr>
            <w:tcW w:w="439" w:type="pct"/>
            <w:vAlign w:val="center"/>
          </w:tcPr>
          <w:p>
            <w:pPr>
              <w:snapToGrid w:val="0"/>
              <w:jc w:val="center"/>
              <w:rPr>
                <w:sz w:val="18"/>
                <w:szCs w:val="18"/>
              </w:rPr>
            </w:pPr>
            <w:r>
              <w:rPr>
                <w:rFonts w:hint="eastAsia"/>
                <w:sz w:val="18"/>
                <w:szCs w:val="18"/>
              </w:rPr>
              <w:t>7.15</w:t>
            </w:r>
          </w:p>
        </w:tc>
        <w:tc>
          <w:tcPr>
            <w:tcW w:w="323" w:type="pct"/>
            <w:vAlign w:val="center"/>
          </w:tcPr>
          <w:p>
            <w:pPr>
              <w:snapToGrid w:val="0"/>
              <w:jc w:val="center"/>
              <w:rPr>
                <w:sz w:val="18"/>
                <w:szCs w:val="18"/>
              </w:rPr>
            </w:pPr>
            <w:r>
              <w:rPr>
                <w:rFonts w:hint="eastAsia"/>
                <w:sz w:val="18"/>
                <w:szCs w:val="18"/>
              </w:rPr>
              <w:t>0.12</w:t>
            </w:r>
          </w:p>
        </w:tc>
        <w:tc>
          <w:tcPr>
            <w:tcW w:w="343" w:type="pct"/>
            <w:vAlign w:val="center"/>
          </w:tcPr>
          <w:p>
            <w:pPr>
              <w:snapToGrid w:val="0"/>
              <w:jc w:val="center"/>
              <w:rPr>
                <w:sz w:val="18"/>
                <w:szCs w:val="18"/>
              </w:rPr>
            </w:pPr>
            <w:r>
              <w:rPr>
                <w:rFonts w:hint="eastAsia"/>
                <w:sz w:val="18"/>
                <w:szCs w:val="18"/>
              </w:rPr>
              <w:t>3.53</w:t>
            </w:r>
          </w:p>
        </w:tc>
        <w:tc>
          <w:tcPr>
            <w:tcW w:w="344" w:type="pct"/>
            <w:vAlign w:val="center"/>
          </w:tcPr>
          <w:p>
            <w:pPr>
              <w:snapToGrid w:val="0"/>
              <w:jc w:val="center"/>
              <w:rPr>
                <w:sz w:val="18"/>
                <w:szCs w:val="18"/>
              </w:rPr>
            </w:pPr>
            <w:r>
              <w:rPr>
                <w:rFonts w:hint="eastAsia"/>
                <w:sz w:val="18"/>
                <w:szCs w:val="18"/>
              </w:rPr>
              <w:t>0.001L</w:t>
            </w:r>
          </w:p>
        </w:tc>
        <w:tc>
          <w:tcPr>
            <w:tcW w:w="335" w:type="pct"/>
            <w:vAlign w:val="center"/>
          </w:tcPr>
          <w:p>
            <w:pPr>
              <w:snapToGrid w:val="0"/>
              <w:jc w:val="center"/>
              <w:rPr>
                <w:sz w:val="18"/>
                <w:szCs w:val="18"/>
              </w:rPr>
            </w:pPr>
            <w:r>
              <w:rPr>
                <w:rFonts w:hint="eastAsia"/>
                <w:sz w:val="18"/>
                <w:szCs w:val="18"/>
              </w:rPr>
              <w:t>0.002L</w:t>
            </w:r>
          </w:p>
        </w:tc>
        <w:tc>
          <w:tcPr>
            <w:tcW w:w="388" w:type="pct"/>
            <w:vAlign w:val="center"/>
          </w:tcPr>
          <w:p>
            <w:pPr>
              <w:snapToGrid w:val="0"/>
              <w:jc w:val="center"/>
              <w:rPr>
                <w:sz w:val="18"/>
                <w:szCs w:val="18"/>
              </w:rPr>
            </w:pPr>
            <w:r>
              <w:rPr>
                <w:rFonts w:hint="eastAsia"/>
                <w:sz w:val="18"/>
                <w:szCs w:val="18"/>
              </w:rPr>
              <w:t>0.002L</w:t>
            </w:r>
          </w:p>
        </w:tc>
        <w:tc>
          <w:tcPr>
            <w:tcW w:w="407" w:type="pct"/>
            <w:vAlign w:val="center"/>
          </w:tcPr>
          <w:p>
            <w:pPr>
              <w:snapToGrid w:val="0"/>
              <w:jc w:val="center"/>
              <w:rPr>
                <w:sz w:val="18"/>
                <w:szCs w:val="18"/>
              </w:rPr>
            </w:pPr>
            <w:r>
              <w:rPr>
                <w:rFonts w:hint="eastAsia"/>
                <w:sz w:val="18"/>
                <w:szCs w:val="18"/>
              </w:rPr>
              <w:t>0.001L</w:t>
            </w:r>
          </w:p>
        </w:tc>
        <w:tc>
          <w:tcPr>
            <w:tcW w:w="339" w:type="pct"/>
            <w:vAlign w:val="center"/>
          </w:tcPr>
          <w:p>
            <w:pPr>
              <w:snapToGrid w:val="0"/>
              <w:jc w:val="center"/>
              <w:rPr>
                <w:sz w:val="18"/>
                <w:szCs w:val="18"/>
              </w:rPr>
            </w:pPr>
            <w:r>
              <w:rPr>
                <w:rFonts w:hint="eastAsia"/>
                <w:sz w:val="18"/>
                <w:szCs w:val="18"/>
              </w:rPr>
              <w:t>0.0001L</w:t>
            </w:r>
          </w:p>
        </w:tc>
        <w:tc>
          <w:tcPr>
            <w:tcW w:w="412" w:type="pct"/>
            <w:vAlign w:val="center"/>
          </w:tcPr>
          <w:p>
            <w:pPr>
              <w:snapToGrid w:val="0"/>
              <w:jc w:val="center"/>
              <w:rPr>
                <w:sz w:val="18"/>
                <w:szCs w:val="18"/>
              </w:rPr>
            </w:pPr>
            <w:r>
              <w:rPr>
                <w:rFonts w:hint="eastAsia"/>
                <w:sz w:val="18"/>
                <w:szCs w:val="18"/>
              </w:rPr>
              <w:t>0.004L</w:t>
            </w:r>
          </w:p>
        </w:tc>
        <w:tc>
          <w:tcPr>
            <w:tcW w:w="323" w:type="pct"/>
            <w:vAlign w:val="center"/>
          </w:tcPr>
          <w:p>
            <w:pPr>
              <w:snapToGrid w:val="0"/>
              <w:jc w:val="center"/>
              <w:rPr>
                <w:sz w:val="18"/>
                <w:szCs w:val="18"/>
              </w:rPr>
            </w:pPr>
            <w:r>
              <w:rPr>
                <w:rFonts w:hint="eastAsia"/>
                <w:sz w:val="18"/>
                <w:szCs w:val="18"/>
              </w:rPr>
              <w:t>241</w:t>
            </w:r>
          </w:p>
        </w:tc>
        <w:tc>
          <w:tcPr>
            <w:tcW w:w="556" w:type="pct"/>
            <w:vAlign w:val="center"/>
          </w:tcPr>
          <w:p>
            <w:pPr>
              <w:snapToGrid w:val="0"/>
              <w:jc w:val="center"/>
              <w:rPr>
                <w:sz w:val="18"/>
                <w:szCs w:val="18"/>
              </w:rPr>
            </w:pPr>
            <w:r>
              <w:rPr>
                <w:rFonts w:hint="eastAsia"/>
                <w:sz w:val="18"/>
                <w:szCs w:val="18"/>
              </w:rPr>
              <w:t>0.0025L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vAlign w:val="center"/>
          </w:tcPr>
          <w:p>
            <w:pPr>
              <w:snapToGrid w:val="0"/>
              <w:jc w:val="center"/>
              <w:rPr>
                <w:sz w:val="18"/>
                <w:szCs w:val="18"/>
              </w:rPr>
            </w:pPr>
            <w:r>
              <w:rPr>
                <w:sz w:val="18"/>
                <w:szCs w:val="18"/>
              </w:rPr>
              <w:t>达标率%</w:t>
            </w:r>
          </w:p>
        </w:tc>
        <w:tc>
          <w:tcPr>
            <w:tcW w:w="439"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343" w:type="pct"/>
            <w:vAlign w:val="center"/>
          </w:tcPr>
          <w:p>
            <w:pPr>
              <w:snapToGrid w:val="0"/>
              <w:jc w:val="center"/>
              <w:rPr>
                <w:sz w:val="18"/>
                <w:szCs w:val="18"/>
              </w:rPr>
            </w:pPr>
            <w:r>
              <w:rPr>
                <w:sz w:val="18"/>
                <w:szCs w:val="18"/>
              </w:rPr>
              <w:t>100</w:t>
            </w:r>
          </w:p>
        </w:tc>
        <w:tc>
          <w:tcPr>
            <w:tcW w:w="344" w:type="pct"/>
            <w:vAlign w:val="center"/>
          </w:tcPr>
          <w:p>
            <w:pPr>
              <w:snapToGrid w:val="0"/>
              <w:jc w:val="center"/>
              <w:rPr>
                <w:sz w:val="18"/>
                <w:szCs w:val="18"/>
              </w:rPr>
            </w:pPr>
            <w:r>
              <w:rPr>
                <w:sz w:val="18"/>
                <w:szCs w:val="18"/>
              </w:rPr>
              <w:t>100</w:t>
            </w:r>
          </w:p>
        </w:tc>
        <w:tc>
          <w:tcPr>
            <w:tcW w:w="335" w:type="pct"/>
            <w:vAlign w:val="center"/>
          </w:tcPr>
          <w:p>
            <w:pPr>
              <w:snapToGrid w:val="0"/>
              <w:jc w:val="center"/>
              <w:rPr>
                <w:sz w:val="18"/>
                <w:szCs w:val="18"/>
              </w:rPr>
            </w:pPr>
            <w:r>
              <w:rPr>
                <w:sz w:val="18"/>
                <w:szCs w:val="18"/>
              </w:rPr>
              <w:t>100</w:t>
            </w:r>
          </w:p>
        </w:tc>
        <w:tc>
          <w:tcPr>
            <w:tcW w:w="388" w:type="pct"/>
            <w:vAlign w:val="center"/>
          </w:tcPr>
          <w:p>
            <w:pPr>
              <w:snapToGrid w:val="0"/>
              <w:jc w:val="center"/>
              <w:rPr>
                <w:sz w:val="18"/>
                <w:szCs w:val="18"/>
              </w:rPr>
            </w:pPr>
            <w:r>
              <w:rPr>
                <w:sz w:val="18"/>
                <w:szCs w:val="18"/>
              </w:rPr>
              <w:t>100</w:t>
            </w:r>
          </w:p>
        </w:tc>
        <w:tc>
          <w:tcPr>
            <w:tcW w:w="407" w:type="pct"/>
            <w:vAlign w:val="center"/>
          </w:tcPr>
          <w:p>
            <w:pPr>
              <w:snapToGrid w:val="0"/>
              <w:jc w:val="center"/>
              <w:rPr>
                <w:sz w:val="18"/>
                <w:szCs w:val="18"/>
              </w:rPr>
            </w:pPr>
            <w:r>
              <w:rPr>
                <w:sz w:val="18"/>
                <w:szCs w:val="18"/>
              </w:rPr>
              <w:t>100</w:t>
            </w:r>
          </w:p>
        </w:tc>
        <w:tc>
          <w:tcPr>
            <w:tcW w:w="339" w:type="pct"/>
            <w:vAlign w:val="center"/>
          </w:tcPr>
          <w:p>
            <w:pPr>
              <w:snapToGrid w:val="0"/>
              <w:jc w:val="center"/>
              <w:rPr>
                <w:sz w:val="18"/>
                <w:szCs w:val="18"/>
              </w:rPr>
            </w:pPr>
            <w:r>
              <w:rPr>
                <w:sz w:val="18"/>
                <w:szCs w:val="18"/>
              </w:rPr>
              <w:t>100</w:t>
            </w:r>
          </w:p>
        </w:tc>
        <w:tc>
          <w:tcPr>
            <w:tcW w:w="412"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556" w:type="pct"/>
            <w:vAlign w:val="center"/>
          </w:tcPr>
          <w:p>
            <w:pPr>
              <w:snapToGrid w:val="0"/>
              <w:jc w:val="center"/>
              <w:rPr>
                <w:sz w:val="18"/>
                <w:szCs w:val="18"/>
              </w:rPr>
            </w:pPr>
            <w:r>
              <w:rPr>
                <w:sz w:val="18"/>
                <w:szCs w:val="18"/>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 w:type="pct"/>
            <w:gridSpan w:val="2"/>
            <w:vAlign w:val="center"/>
          </w:tcPr>
          <w:p>
            <w:pPr>
              <w:snapToGrid w:val="0"/>
              <w:jc w:val="center"/>
              <w:rPr>
                <w:sz w:val="18"/>
                <w:szCs w:val="18"/>
              </w:rPr>
            </w:pPr>
            <w:r>
              <w:rPr>
                <w:rFonts w:hint="eastAsia"/>
                <w:sz w:val="18"/>
                <w:szCs w:val="18"/>
              </w:rPr>
              <w:t>下游企业自备水井</w:t>
            </w:r>
          </w:p>
        </w:tc>
        <w:tc>
          <w:tcPr>
            <w:tcW w:w="301" w:type="pct"/>
            <w:vAlign w:val="center"/>
          </w:tcPr>
          <w:p>
            <w:pPr>
              <w:pStyle w:val="24"/>
              <w:pBdr>
                <w:bottom w:val="none" w:color="auto" w:sz="0" w:space="0"/>
              </w:pBdr>
              <w:tabs>
                <w:tab w:val="clear" w:pos="4153"/>
                <w:tab w:val="clear" w:pos="8306"/>
              </w:tabs>
            </w:pPr>
            <w:r>
              <w:rPr>
                <w:rFonts w:hint="eastAsia"/>
              </w:rPr>
              <w:t>12.20</w:t>
            </w:r>
          </w:p>
        </w:tc>
        <w:tc>
          <w:tcPr>
            <w:tcW w:w="439" w:type="pct"/>
            <w:vAlign w:val="center"/>
          </w:tcPr>
          <w:p>
            <w:pPr>
              <w:snapToGrid w:val="0"/>
              <w:jc w:val="center"/>
              <w:rPr>
                <w:sz w:val="18"/>
                <w:szCs w:val="18"/>
              </w:rPr>
            </w:pPr>
            <w:r>
              <w:rPr>
                <w:rFonts w:hint="eastAsia"/>
                <w:sz w:val="18"/>
                <w:szCs w:val="18"/>
              </w:rPr>
              <w:t>7.26</w:t>
            </w:r>
          </w:p>
        </w:tc>
        <w:tc>
          <w:tcPr>
            <w:tcW w:w="323" w:type="pct"/>
            <w:vAlign w:val="center"/>
          </w:tcPr>
          <w:p>
            <w:pPr>
              <w:snapToGrid w:val="0"/>
              <w:jc w:val="center"/>
              <w:rPr>
                <w:sz w:val="18"/>
                <w:szCs w:val="18"/>
              </w:rPr>
            </w:pPr>
            <w:r>
              <w:rPr>
                <w:rFonts w:hint="eastAsia"/>
                <w:sz w:val="18"/>
                <w:szCs w:val="18"/>
              </w:rPr>
              <w:t>0.23</w:t>
            </w:r>
          </w:p>
        </w:tc>
        <w:tc>
          <w:tcPr>
            <w:tcW w:w="343" w:type="pct"/>
            <w:vAlign w:val="center"/>
          </w:tcPr>
          <w:p>
            <w:pPr>
              <w:snapToGrid w:val="0"/>
              <w:jc w:val="center"/>
              <w:rPr>
                <w:sz w:val="18"/>
                <w:szCs w:val="18"/>
              </w:rPr>
            </w:pPr>
            <w:r>
              <w:rPr>
                <w:rFonts w:hint="eastAsia"/>
                <w:sz w:val="18"/>
                <w:szCs w:val="18"/>
              </w:rPr>
              <w:t>3.36</w:t>
            </w:r>
          </w:p>
        </w:tc>
        <w:tc>
          <w:tcPr>
            <w:tcW w:w="344" w:type="pct"/>
            <w:vAlign w:val="center"/>
          </w:tcPr>
          <w:p>
            <w:pPr>
              <w:snapToGrid w:val="0"/>
              <w:jc w:val="center"/>
              <w:rPr>
                <w:sz w:val="18"/>
                <w:szCs w:val="18"/>
              </w:rPr>
            </w:pPr>
            <w:r>
              <w:rPr>
                <w:rFonts w:hint="eastAsia"/>
                <w:sz w:val="18"/>
                <w:szCs w:val="18"/>
              </w:rPr>
              <w:t>0.001L</w:t>
            </w:r>
          </w:p>
        </w:tc>
        <w:tc>
          <w:tcPr>
            <w:tcW w:w="335" w:type="pct"/>
            <w:vAlign w:val="center"/>
          </w:tcPr>
          <w:p>
            <w:pPr>
              <w:snapToGrid w:val="0"/>
              <w:jc w:val="center"/>
              <w:rPr>
                <w:sz w:val="18"/>
                <w:szCs w:val="18"/>
              </w:rPr>
            </w:pPr>
            <w:r>
              <w:rPr>
                <w:rFonts w:hint="eastAsia"/>
                <w:sz w:val="18"/>
                <w:szCs w:val="18"/>
              </w:rPr>
              <w:t>0.002L</w:t>
            </w:r>
          </w:p>
        </w:tc>
        <w:tc>
          <w:tcPr>
            <w:tcW w:w="388" w:type="pct"/>
            <w:vAlign w:val="center"/>
          </w:tcPr>
          <w:p>
            <w:pPr>
              <w:snapToGrid w:val="0"/>
              <w:jc w:val="center"/>
              <w:rPr>
                <w:sz w:val="18"/>
                <w:szCs w:val="18"/>
              </w:rPr>
            </w:pPr>
            <w:r>
              <w:rPr>
                <w:rFonts w:hint="eastAsia"/>
                <w:sz w:val="18"/>
                <w:szCs w:val="18"/>
              </w:rPr>
              <w:t>0.002L</w:t>
            </w:r>
          </w:p>
        </w:tc>
        <w:tc>
          <w:tcPr>
            <w:tcW w:w="407" w:type="pct"/>
            <w:vAlign w:val="center"/>
          </w:tcPr>
          <w:p>
            <w:pPr>
              <w:snapToGrid w:val="0"/>
              <w:jc w:val="center"/>
              <w:rPr>
                <w:sz w:val="18"/>
                <w:szCs w:val="18"/>
              </w:rPr>
            </w:pPr>
            <w:r>
              <w:rPr>
                <w:rFonts w:hint="eastAsia"/>
                <w:sz w:val="18"/>
                <w:szCs w:val="18"/>
              </w:rPr>
              <w:t>0.001L</w:t>
            </w:r>
          </w:p>
        </w:tc>
        <w:tc>
          <w:tcPr>
            <w:tcW w:w="339" w:type="pct"/>
            <w:vAlign w:val="center"/>
          </w:tcPr>
          <w:p>
            <w:pPr>
              <w:snapToGrid w:val="0"/>
              <w:jc w:val="center"/>
              <w:rPr>
                <w:sz w:val="18"/>
                <w:szCs w:val="18"/>
              </w:rPr>
            </w:pPr>
            <w:r>
              <w:rPr>
                <w:rFonts w:hint="eastAsia"/>
                <w:sz w:val="18"/>
                <w:szCs w:val="18"/>
              </w:rPr>
              <w:t>0.0001L</w:t>
            </w:r>
          </w:p>
        </w:tc>
        <w:tc>
          <w:tcPr>
            <w:tcW w:w="412" w:type="pct"/>
            <w:vAlign w:val="center"/>
          </w:tcPr>
          <w:p>
            <w:pPr>
              <w:snapToGrid w:val="0"/>
              <w:jc w:val="center"/>
              <w:rPr>
                <w:sz w:val="18"/>
                <w:szCs w:val="18"/>
              </w:rPr>
            </w:pPr>
            <w:r>
              <w:rPr>
                <w:rFonts w:hint="eastAsia"/>
                <w:sz w:val="18"/>
                <w:szCs w:val="18"/>
              </w:rPr>
              <w:t>0.004L</w:t>
            </w:r>
          </w:p>
        </w:tc>
        <w:tc>
          <w:tcPr>
            <w:tcW w:w="323" w:type="pct"/>
            <w:vAlign w:val="center"/>
          </w:tcPr>
          <w:p>
            <w:pPr>
              <w:snapToGrid w:val="0"/>
              <w:jc w:val="center"/>
              <w:rPr>
                <w:sz w:val="18"/>
                <w:szCs w:val="18"/>
              </w:rPr>
            </w:pPr>
            <w:r>
              <w:rPr>
                <w:rFonts w:hint="eastAsia"/>
                <w:sz w:val="18"/>
                <w:szCs w:val="18"/>
              </w:rPr>
              <w:t>276</w:t>
            </w:r>
          </w:p>
        </w:tc>
        <w:tc>
          <w:tcPr>
            <w:tcW w:w="556" w:type="pct"/>
            <w:vAlign w:val="center"/>
          </w:tcPr>
          <w:p>
            <w:pPr>
              <w:snapToGrid w:val="0"/>
              <w:jc w:val="center"/>
              <w:rPr>
                <w:sz w:val="18"/>
                <w:szCs w:val="18"/>
              </w:rPr>
            </w:pPr>
            <w:r>
              <w:rPr>
                <w:rFonts w:hint="eastAsia"/>
                <w:sz w:val="18"/>
                <w:szCs w:val="18"/>
              </w:rPr>
              <w:t>0.0025L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vAlign w:val="center"/>
          </w:tcPr>
          <w:p>
            <w:pPr>
              <w:snapToGrid w:val="0"/>
              <w:jc w:val="center"/>
              <w:rPr>
                <w:sz w:val="18"/>
                <w:szCs w:val="18"/>
              </w:rPr>
            </w:pPr>
            <w:r>
              <w:rPr>
                <w:sz w:val="18"/>
                <w:szCs w:val="18"/>
              </w:rPr>
              <w:t>达标率%</w:t>
            </w:r>
          </w:p>
        </w:tc>
        <w:tc>
          <w:tcPr>
            <w:tcW w:w="439"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343" w:type="pct"/>
            <w:vAlign w:val="center"/>
          </w:tcPr>
          <w:p>
            <w:pPr>
              <w:snapToGrid w:val="0"/>
              <w:jc w:val="center"/>
              <w:rPr>
                <w:sz w:val="18"/>
                <w:szCs w:val="18"/>
              </w:rPr>
            </w:pPr>
            <w:r>
              <w:rPr>
                <w:sz w:val="18"/>
                <w:szCs w:val="18"/>
              </w:rPr>
              <w:t>100</w:t>
            </w:r>
          </w:p>
        </w:tc>
        <w:tc>
          <w:tcPr>
            <w:tcW w:w="344" w:type="pct"/>
            <w:vAlign w:val="center"/>
          </w:tcPr>
          <w:p>
            <w:pPr>
              <w:snapToGrid w:val="0"/>
              <w:jc w:val="center"/>
              <w:rPr>
                <w:sz w:val="18"/>
                <w:szCs w:val="18"/>
              </w:rPr>
            </w:pPr>
            <w:r>
              <w:rPr>
                <w:sz w:val="18"/>
                <w:szCs w:val="18"/>
              </w:rPr>
              <w:t>100</w:t>
            </w:r>
          </w:p>
        </w:tc>
        <w:tc>
          <w:tcPr>
            <w:tcW w:w="335" w:type="pct"/>
            <w:vAlign w:val="center"/>
          </w:tcPr>
          <w:p>
            <w:pPr>
              <w:snapToGrid w:val="0"/>
              <w:jc w:val="center"/>
              <w:rPr>
                <w:sz w:val="18"/>
                <w:szCs w:val="18"/>
              </w:rPr>
            </w:pPr>
            <w:r>
              <w:rPr>
                <w:sz w:val="18"/>
                <w:szCs w:val="18"/>
              </w:rPr>
              <w:t>100</w:t>
            </w:r>
          </w:p>
        </w:tc>
        <w:tc>
          <w:tcPr>
            <w:tcW w:w="388" w:type="pct"/>
            <w:vAlign w:val="center"/>
          </w:tcPr>
          <w:p>
            <w:pPr>
              <w:snapToGrid w:val="0"/>
              <w:jc w:val="center"/>
              <w:rPr>
                <w:sz w:val="18"/>
                <w:szCs w:val="18"/>
              </w:rPr>
            </w:pPr>
            <w:r>
              <w:rPr>
                <w:sz w:val="18"/>
                <w:szCs w:val="18"/>
              </w:rPr>
              <w:t>100</w:t>
            </w:r>
          </w:p>
        </w:tc>
        <w:tc>
          <w:tcPr>
            <w:tcW w:w="407" w:type="pct"/>
            <w:vAlign w:val="center"/>
          </w:tcPr>
          <w:p>
            <w:pPr>
              <w:snapToGrid w:val="0"/>
              <w:jc w:val="center"/>
              <w:rPr>
                <w:sz w:val="18"/>
                <w:szCs w:val="18"/>
              </w:rPr>
            </w:pPr>
            <w:r>
              <w:rPr>
                <w:sz w:val="18"/>
                <w:szCs w:val="18"/>
              </w:rPr>
              <w:t>100</w:t>
            </w:r>
          </w:p>
        </w:tc>
        <w:tc>
          <w:tcPr>
            <w:tcW w:w="339" w:type="pct"/>
            <w:vAlign w:val="center"/>
          </w:tcPr>
          <w:p>
            <w:pPr>
              <w:snapToGrid w:val="0"/>
              <w:jc w:val="center"/>
              <w:rPr>
                <w:sz w:val="18"/>
                <w:szCs w:val="18"/>
              </w:rPr>
            </w:pPr>
            <w:r>
              <w:rPr>
                <w:sz w:val="18"/>
                <w:szCs w:val="18"/>
              </w:rPr>
              <w:t>100</w:t>
            </w:r>
          </w:p>
        </w:tc>
        <w:tc>
          <w:tcPr>
            <w:tcW w:w="412"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556" w:type="pct"/>
            <w:vAlign w:val="center"/>
          </w:tcPr>
          <w:p>
            <w:pPr>
              <w:snapToGrid w:val="0"/>
              <w:jc w:val="center"/>
              <w:rPr>
                <w:sz w:val="18"/>
                <w:szCs w:val="18"/>
              </w:rPr>
            </w:pPr>
            <w:r>
              <w:rPr>
                <w:sz w:val="18"/>
                <w:szCs w:val="18"/>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 w:type="pct"/>
            <w:gridSpan w:val="2"/>
            <w:vAlign w:val="center"/>
          </w:tcPr>
          <w:p>
            <w:pPr>
              <w:snapToGrid w:val="0"/>
              <w:jc w:val="center"/>
              <w:rPr>
                <w:sz w:val="18"/>
                <w:szCs w:val="18"/>
              </w:rPr>
            </w:pPr>
            <w:r>
              <w:rPr>
                <w:rFonts w:hint="eastAsia"/>
                <w:sz w:val="18"/>
                <w:szCs w:val="18"/>
              </w:rPr>
              <w:t>后石湖村水井</w:t>
            </w:r>
          </w:p>
        </w:tc>
        <w:tc>
          <w:tcPr>
            <w:tcW w:w="301" w:type="pct"/>
            <w:vAlign w:val="center"/>
          </w:tcPr>
          <w:p>
            <w:pPr>
              <w:pStyle w:val="24"/>
              <w:pBdr>
                <w:bottom w:val="none" w:color="auto" w:sz="0" w:space="0"/>
              </w:pBdr>
              <w:tabs>
                <w:tab w:val="clear" w:pos="4153"/>
                <w:tab w:val="clear" w:pos="8306"/>
              </w:tabs>
            </w:pPr>
            <w:r>
              <w:rPr>
                <w:rFonts w:hint="eastAsia"/>
              </w:rPr>
              <w:t>12.20</w:t>
            </w:r>
          </w:p>
        </w:tc>
        <w:tc>
          <w:tcPr>
            <w:tcW w:w="439" w:type="pct"/>
            <w:vAlign w:val="center"/>
          </w:tcPr>
          <w:p>
            <w:pPr>
              <w:snapToGrid w:val="0"/>
              <w:jc w:val="center"/>
              <w:rPr>
                <w:sz w:val="18"/>
                <w:szCs w:val="18"/>
              </w:rPr>
            </w:pPr>
            <w:r>
              <w:rPr>
                <w:rFonts w:hint="eastAsia"/>
                <w:sz w:val="18"/>
                <w:szCs w:val="18"/>
              </w:rPr>
              <w:t>7.31</w:t>
            </w:r>
          </w:p>
        </w:tc>
        <w:tc>
          <w:tcPr>
            <w:tcW w:w="323" w:type="pct"/>
            <w:vAlign w:val="center"/>
          </w:tcPr>
          <w:p>
            <w:pPr>
              <w:snapToGrid w:val="0"/>
              <w:jc w:val="center"/>
              <w:rPr>
                <w:sz w:val="18"/>
                <w:szCs w:val="18"/>
              </w:rPr>
            </w:pPr>
            <w:r>
              <w:rPr>
                <w:rFonts w:hint="eastAsia"/>
                <w:sz w:val="18"/>
                <w:szCs w:val="18"/>
              </w:rPr>
              <w:t>0.14</w:t>
            </w:r>
          </w:p>
        </w:tc>
        <w:tc>
          <w:tcPr>
            <w:tcW w:w="343" w:type="pct"/>
            <w:vAlign w:val="center"/>
          </w:tcPr>
          <w:p>
            <w:pPr>
              <w:snapToGrid w:val="0"/>
              <w:jc w:val="center"/>
              <w:rPr>
                <w:sz w:val="18"/>
                <w:szCs w:val="18"/>
              </w:rPr>
            </w:pPr>
            <w:r>
              <w:rPr>
                <w:rFonts w:hint="eastAsia"/>
                <w:sz w:val="18"/>
                <w:szCs w:val="18"/>
              </w:rPr>
              <w:t>4.02</w:t>
            </w:r>
          </w:p>
        </w:tc>
        <w:tc>
          <w:tcPr>
            <w:tcW w:w="344" w:type="pct"/>
            <w:vAlign w:val="center"/>
          </w:tcPr>
          <w:p>
            <w:pPr>
              <w:snapToGrid w:val="0"/>
              <w:jc w:val="center"/>
              <w:rPr>
                <w:sz w:val="18"/>
                <w:szCs w:val="18"/>
              </w:rPr>
            </w:pPr>
            <w:r>
              <w:rPr>
                <w:rFonts w:hint="eastAsia"/>
                <w:sz w:val="18"/>
                <w:szCs w:val="18"/>
              </w:rPr>
              <w:t>0.001L</w:t>
            </w:r>
          </w:p>
        </w:tc>
        <w:tc>
          <w:tcPr>
            <w:tcW w:w="335" w:type="pct"/>
            <w:vAlign w:val="center"/>
          </w:tcPr>
          <w:p>
            <w:pPr>
              <w:snapToGrid w:val="0"/>
              <w:jc w:val="center"/>
              <w:rPr>
                <w:sz w:val="18"/>
                <w:szCs w:val="18"/>
              </w:rPr>
            </w:pPr>
            <w:r>
              <w:rPr>
                <w:rFonts w:hint="eastAsia"/>
                <w:sz w:val="18"/>
                <w:szCs w:val="18"/>
              </w:rPr>
              <w:t>0.002L</w:t>
            </w:r>
          </w:p>
        </w:tc>
        <w:tc>
          <w:tcPr>
            <w:tcW w:w="388" w:type="pct"/>
            <w:vAlign w:val="center"/>
          </w:tcPr>
          <w:p>
            <w:pPr>
              <w:snapToGrid w:val="0"/>
              <w:jc w:val="center"/>
              <w:rPr>
                <w:sz w:val="18"/>
                <w:szCs w:val="18"/>
              </w:rPr>
            </w:pPr>
            <w:r>
              <w:rPr>
                <w:rFonts w:hint="eastAsia"/>
                <w:sz w:val="18"/>
                <w:szCs w:val="18"/>
              </w:rPr>
              <w:t>0.002L</w:t>
            </w:r>
          </w:p>
        </w:tc>
        <w:tc>
          <w:tcPr>
            <w:tcW w:w="407" w:type="pct"/>
            <w:vAlign w:val="center"/>
          </w:tcPr>
          <w:p>
            <w:pPr>
              <w:snapToGrid w:val="0"/>
              <w:jc w:val="center"/>
              <w:rPr>
                <w:sz w:val="18"/>
                <w:szCs w:val="18"/>
              </w:rPr>
            </w:pPr>
            <w:r>
              <w:rPr>
                <w:rFonts w:hint="eastAsia"/>
                <w:sz w:val="18"/>
                <w:szCs w:val="18"/>
              </w:rPr>
              <w:t>0.001L</w:t>
            </w:r>
          </w:p>
        </w:tc>
        <w:tc>
          <w:tcPr>
            <w:tcW w:w="339" w:type="pct"/>
            <w:vAlign w:val="center"/>
          </w:tcPr>
          <w:p>
            <w:pPr>
              <w:snapToGrid w:val="0"/>
              <w:jc w:val="center"/>
              <w:rPr>
                <w:sz w:val="18"/>
                <w:szCs w:val="18"/>
              </w:rPr>
            </w:pPr>
            <w:r>
              <w:rPr>
                <w:rFonts w:hint="eastAsia"/>
                <w:sz w:val="18"/>
                <w:szCs w:val="18"/>
              </w:rPr>
              <w:t>0.0001L</w:t>
            </w:r>
          </w:p>
        </w:tc>
        <w:tc>
          <w:tcPr>
            <w:tcW w:w="412" w:type="pct"/>
            <w:vAlign w:val="center"/>
          </w:tcPr>
          <w:p>
            <w:pPr>
              <w:snapToGrid w:val="0"/>
              <w:jc w:val="center"/>
              <w:rPr>
                <w:sz w:val="18"/>
                <w:szCs w:val="18"/>
              </w:rPr>
            </w:pPr>
            <w:r>
              <w:rPr>
                <w:rFonts w:hint="eastAsia"/>
                <w:sz w:val="18"/>
                <w:szCs w:val="18"/>
              </w:rPr>
              <w:t>0.004L</w:t>
            </w:r>
          </w:p>
        </w:tc>
        <w:tc>
          <w:tcPr>
            <w:tcW w:w="323" w:type="pct"/>
            <w:vAlign w:val="center"/>
          </w:tcPr>
          <w:p>
            <w:pPr>
              <w:snapToGrid w:val="0"/>
              <w:jc w:val="center"/>
              <w:rPr>
                <w:sz w:val="18"/>
                <w:szCs w:val="18"/>
              </w:rPr>
            </w:pPr>
            <w:r>
              <w:rPr>
                <w:rFonts w:hint="eastAsia"/>
                <w:sz w:val="18"/>
                <w:szCs w:val="18"/>
              </w:rPr>
              <w:t>211</w:t>
            </w:r>
          </w:p>
        </w:tc>
        <w:tc>
          <w:tcPr>
            <w:tcW w:w="556" w:type="pct"/>
            <w:vAlign w:val="center"/>
          </w:tcPr>
          <w:p>
            <w:pPr>
              <w:snapToGrid w:val="0"/>
              <w:jc w:val="center"/>
              <w:rPr>
                <w:sz w:val="18"/>
                <w:szCs w:val="18"/>
              </w:rPr>
            </w:pPr>
            <w:r>
              <w:rPr>
                <w:rFonts w:hint="eastAsia"/>
                <w:sz w:val="18"/>
                <w:szCs w:val="18"/>
              </w:rPr>
              <w:t>0.0025L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vAlign w:val="center"/>
          </w:tcPr>
          <w:p>
            <w:pPr>
              <w:snapToGrid w:val="0"/>
              <w:jc w:val="center"/>
              <w:rPr>
                <w:sz w:val="18"/>
                <w:szCs w:val="18"/>
              </w:rPr>
            </w:pPr>
            <w:r>
              <w:rPr>
                <w:sz w:val="18"/>
                <w:szCs w:val="18"/>
              </w:rPr>
              <w:t>达标率%</w:t>
            </w:r>
          </w:p>
        </w:tc>
        <w:tc>
          <w:tcPr>
            <w:tcW w:w="439"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343" w:type="pct"/>
            <w:vAlign w:val="center"/>
          </w:tcPr>
          <w:p>
            <w:pPr>
              <w:snapToGrid w:val="0"/>
              <w:jc w:val="center"/>
              <w:rPr>
                <w:sz w:val="18"/>
                <w:szCs w:val="18"/>
              </w:rPr>
            </w:pPr>
            <w:r>
              <w:rPr>
                <w:sz w:val="18"/>
                <w:szCs w:val="18"/>
              </w:rPr>
              <w:t>100</w:t>
            </w:r>
          </w:p>
        </w:tc>
        <w:tc>
          <w:tcPr>
            <w:tcW w:w="344" w:type="pct"/>
            <w:vAlign w:val="center"/>
          </w:tcPr>
          <w:p>
            <w:pPr>
              <w:snapToGrid w:val="0"/>
              <w:jc w:val="center"/>
              <w:rPr>
                <w:sz w:val="18"/>
                <w:szCs w:val="18"/>
              </w:rPr>
            </w:pPr>
            <w:r>
              <w:rPr>
                <w:sz w:val="18"/>
                <w:szCs w:val="18"/>
              </w:rPr>
              <w:t>100</w:t>
            </w:r>
          </w:p>
        </w:tc>
        <w:tc>
          <w:tcPr>
            <w:tcW w:w="335" w:type="pct"/>
            <w:vAlign w:val="center"/>
          </w:tcPr>
          <w:p>
            <w:pPr>
              <w:snapToGrid w:val="0"/>
              <w:jc w:val="center"/>
              <w:rPr>
                <w:sz w:val="18"/>
                <w:szCs w:val="18"/>
              </w:rPr>
            </w:pPr>
            <w:r>
              <w:rPr>
                <w:sz w:val="18"/>
                <w:szCs w:val="18"/>
              </w:rPr>
              <w:t>100</w:t>
            </w:r>
          </w:p>
        </w:tc>
        <w:tc>
          <w:tcPr>
            <w:tcW w:w="388" w:type="pct"/>
            <w:vAlign w:val="center"/>
          </w:tcPr>
          <w:p>
            <w:pPr>
              <w:snapToGrid w:val="0"/>
              <w:jc w:val="center"/>
              <w:rPr>
                <w:sz w:val="18"/>
                <w:szCs w:val="18"/>
              </w:rPr>
            </w:pPr>
            <w:r>
              <w:rPr>
                <w:sz w:val="18"/>
                <w:szCs w:val="18"/>
              </w:rPr>
              <w:t>100</w:t>
            </w:r>
          </w:p>
        </w:tc>
        <w:tc>
          <w:tcPr>
            <w:tcW w:w="407" w:type="pct"/>
            <w:vAlign w:val="center"/>
          </w:tcPr>
          <w:p>
            <w:pPr>
              <w:snapToGrid w:val="0"/>
              <w:jc w:val="center"/>
              <w:rPr>
                <w:sz w:val="18"/>
                <w:szCs w:val="18"/>
              </w:rPr>
            </w:pPr>
            <w:r>
              <w:rPr>
                <w:sz w:val="18"/>
                <w:szCs w:val="18"/>
              </w:rPr>
              <w:t>100</w:t>
            </w:r>
          </w:p>
        </w:tc>
        <w:tc>
          <w:tcPr>
            <w:tcW w:w="339" w:type="pct"/>
            <w:vAlign w:val="center"/>
          </w:tcPr>
          <w:p>
            <w:pPr>
              <w:snapToGrid w:val="0"/>
              <w:jc w:val="center"/>
              <w:rPr>
                <w:sz w:val="18"/>
                <w:szCs w:val="18"/>
              </w:rPr>
            </w:pPr>
            <w:r>
              <w:rPr>
                <w:sz w:val="18"/>
                <w:szCs w:val="18"/>
              </w:rPr>
              <w:t>100</w:t>
            </w:r>
          </w:p>
        </w:tc>
        <w:tc>
          <w:tcPr>
            <w:tcW w:w="412"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556" w:type="pct"/>
            <w:vAlign w:val="center"/>
          </w:tcPr>
          <w:p>
            <w:pPr>
              <w:snapToGrid w:val="0"/>
              <w:jc w:val="center"/>
              <w:rPr>
                <w:sz w:val="18"/>
                <w:szCs w:val="18"/>
              </w:rPr>
            </w:pPr>
            <w:r>
              <w:rPr>
                <w:sz w:val="18"/>
                <w:szCs w:val="18"/>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vAlign w:val="center"/>
          </w:tcPr>
          <w:p>
            <w:pPr>
              <w:snapToGrid w:val="0"/>
              <w:jc w:val="center"/>
              <w:rPr>
                <w:sz w:val="18"/>
                <w:szCs w:val="18"/>
              </w:rPr>
            </w:pPr>
            <w:r>
              <w:rPr>
                <w:sz w:val="18"/>
                <w:szCs w:val="18"/>
              </w:rPr>
              <w:t>标准值</w:t>
            </w:r>
          </w:p>
        </w:tc>
        <w:tc>
          <w:tcPr>
            <w:tcW w:w="439" w:type="pct"/>
            <w:vAlign w:val="center"/>
          </w:tcPr>
          <w:p>
            <w:pPr>
              <w:snapToGrid w:val="0"/>
              <w:jc w:val="center"/>
              <w:rPr>
                <w:sz w:val="18"/>
                <w:szCs w:val="18"/>
              </w:rPr>
            </w:pPr>
            <w:r>
              <w:rPr>
                <w:sz w:val="18"/>
                <w:szCs w:val="18"/>
              </w:rPr>
              <w:t>6.5-8.5</w:t>
            </w:r>
          </w:p>
        </w:tc>
        <w:tc>
          <w:tcPr>
            <w:tcW w:w="323" w:type="pct"/>
            <w:vAlign w:val="center"/>
          </w:tcPr>
          <w:p>
            <w:pPr>
              <w:snapToGrid w:val="0"/>
              <w:jc w:val="center"/>
              <w:rPr>
                <w:sz w:val="18"/>
                <w:szCs w:val="18"/>
              </w:rPr>
            </w:pPr>
            <w:r>
              <w:rPr>
                <w:rFonts w:hint="eastAsia"/>
                <w:sz w:val="18"/>
                <w:szCs w:val="18"/>
              </w:rPr>
              <w:t>0.5</w:t>
            </w:r>
          </w:p>
        </w:tc>
        <w:tc>
          <w:tcPr>
            <w:tcW w:w="343" w:type="pct"/>
            <w:vAlign w:val="center"/>
          </w:tcPr>
          <w:p>
            <w:pPr>
              <w:snapToGrid w:val="0"/>
              <w:jc w:val="center"/>
              <w:rPr>
                <w:sz w:val="18"/>
                <w:szCs w:val="18"/>
              </w:rPr>
            </w:pPr>
            <w:r>
              <w:rPr>
                <w:rFonts w:hint="eastAsia"/>
                <w:sz w:val="18"/>
                <w:szCs w:val="18"/>
              </w:rPr>
              <w:t>20</w:t>
            </w:r>
          </w:p>
        </w:tc>
        <w:tc>
          <w:tcPr>
            <w:tcW w:w="344" w:type="pct"/>
            <w:vAlign w:val="center"/>
          </w:tcPr>
          <w:p>
            <w:pPr>
              <w:snapToGrid w:val="0"/>
              <w:jc w:val="center"/>
              <w:rPr>
                <w:sz w:val="18"/>
                <w:szCs w:val="18"/>
              </w:rPr>
            </w:pPr>
            <w:r>
              <w:rPr>
                <w:rFonts w:hint="eastAsia"/>
                <w:sz w:val="18"/>
                <w:szCs w:val="18"/>
              </w:rPr>
              <w:t>1.0</w:t>
            </w:r>
          </w:p>
        </w:tc>
        <w:tc>
          <w:tcPr>
            <w:tcW w:w="335" w:type="pct"/>
            <w:vAlign w:val="center"/>
          </w:tcPr>
          <w:p>
            <w:pPr>
              <w:snapToGrid w:val="0"/>
              <w:jc w:val="center"/>
              <w:rPr>
                <w:sz w:val="18"/>
                <w:szCs w:val="18"/>
              </w:rPr>
            </w:pPr>
            <w:r>
              <w:rPr>
                <w:rFonts w:hint="eastAsia"/>
                <w:sz w:val="18"/>
                <w:szCs w:val="18"/>
              </w:rPr>
              <w:t>0.002</w:t>
            </w:r>
          </w:p>
        </w:tc>
        <w:tc>
          <w:tcPr>
            <w:tcW w:w="388" w:type="pct"/>
            <w:vAlign w:val="center"/>
          </w:tcPr>
          <w:p>
            <w:pPr>
              <w:snapToGrid w:val="0"/>
              <w:jc w:val="center"/>
              <w:rPr>
                <w:sz w:val="18"/>
                <w:szCs w:val="18"/>
              </w:rPr>
            </w:pPr>
            <w:r>
              <w:rPr>
                <w:rFonts w:hint="eastAsia"/>
                <w:sz w:val="18"/>
                <w:szCs w:val="18"/>
              </w:rPr>
              <w:t>0.05</w:t>
            </w:r>
          </w:p>
        </w:tc>
        <w:tc>
          <w:tcPr>
            <w:tcW w:w="407" w:type="pct"/>
            <w:vAlign w:val="center"/>
          </w:tcPr>
          <w:p>
            <w:pPr>
              <w:snapToGrid w:val="0"/>
              <w:jc w:val="center"/>
              <w:rPr>
                <w:sz w:val="18"/>
                <w:szCs w:val="18"/>
              </w:rPr>
            </w:pPr>
            <w:r>
              <w:rPr>
                <w:rFonts w:hint="eastAsia"/>
                <w:sz w:val="18"/>
                <w:szCs w:val="18"/>
              </w:rPr>
              <w:t>0.01</w:t>
            </w:r>
          </w:p>
        </w:tc>
        <w:tc>
          <w:tcPr>
            <w:tcW w:w="339" w:type="pct"/>
            <w:vAlign w:val="center"/>
          </w:tcPr>
          <w:p>
            <w:pPr>
              <w:snapToGrid w:val="0"/>
              <w:jc w:val="center"/>
              <w:rPr>
                <w:sz w:val="18"/>
                <w:szCs w:val="18"/>
              </w:rPr>
            </w:pPr>
            <w:r>
              <w:rPr>
                <w:rFonts w:hint="eastAsia"/>
                <w:sz w:val="18"/>
                <w:szCs w:val="18"/>
              </w:rPr>
              <w:t>0.001</w:t>
            </w:r>
          </w:p>
        </w:tc>
        <w:tc>
          <w:tcPr>
            <w:tcW w:w="412" w:type="pct"/>
            <w:vAlign w:val="center"/>
          </w:tcPr>
          <w:p>
            <w:pPr>
              <w:snapToGrid w:val="0"/>
              <w:jc w:val="center"/>
              <w:rPr>
                <w:sz w:val="18"/>
                <w:szCs w:val="18"/>
              </w:rPr>
            </w:pPr>
            <w:r>
              <w:rPr>
                <w:rFonts w:hint="eastAsia"/>
                <w:sz w:val="18"/>
                <w:szCs w:val="18"/>
              </w:rPr>
              <w:t>0.05</w:t>
            </w:r>
          </w:p>
        </w:tc>
        <w:tc>
          <w:tcPr>
            <w:tcW w:w="323" w:type="pct"/>
            <w:vAlign w:val="center"/>
          </w:tcPr>
          <w:p>
            <w:pPr>
              <w:snapToGrid w:val="0"/>
              <w:jc w:val="center"/>
              <w:rPr>
                <w:sz w:val="18"/>
                <w:szCs w:val="18"/>
              </w:rPr>
            </w:pPr>
            <w:r>
              <w:rPr>
                <w:rFonts w:hint="eastAsia"/>
                <w:sz w:val="18"/>
                <w:szCs w:val="18"/>
              </w:rPr>
              <w:t>450</w:t>
            </w:r>
          </w:p>
        </w:tc>
        <w:tc>
          <w:tcPr>
            <w:tcW w:w="556" w:type="pct"/>
            <w:vAlign w:val="center"/>
          </w:tcPr>
          <w:p>
            <w:pPr>
              <w:snapToGrid w:val="0"/>
              <w:jc w:val="center"/>
              <w:rPr>
                <w:sz w:val="18"/>
                <w:szCs w:val="18"/>
              </w:rPr>
            </w:pPr>
            <w:r>
              <w:rPr>
                <w:rFonts w:hint="eastAsia"/>
                <w:sz w:val="18"/>
                <w:szCs w:val="18"/>
              </w:rPr>
              <w:t>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2" w:type="pct"/>
            <w:vAlign w:val="center"/>
          </w:tcPr>
          <w:p>
            <w:pPr>
              <w:snapToGrid w:val="0"/>
              <w:jc w:val="center"/>
              <w:rPr>
                <w:sz w:val="18"/>
                <w:szCs w:val="18"/>
              </w:rPr>
            </w:pPr>
            <w:r>
              <w:rPr>
                <w:sz w:val="18"/>
                <w:szCs w:val="18"/>
              </w:rPr>
              <w:t>采样</w:t>
            </w:r>
          </w:p>
          <w:p>
            <w:pPr>
              <w:snapToGrid w:val="0"/>
              <w:jc w:val="center"/>
              <w:rPr>
                <w:sz w:val="18"/>
                <w:szCs w:val="18"/>
              </w:rPr>
            </w:pPr>
            <w:r>
              <w:rPr>
                <w:sz w:val="18"/>
                <w:szCs w:val="18"/>
              </w:rPr>
              <w:t>点位</w:t>
            </w:r>
          </w:p>
        </w:tc>
        <w:tc>
          <w:tcPr>
            <w:tcW w:w="305" w:type="pct"/>
            <w:gridSpan w:val="2"/>
            <w:vAlign w:val="center"/>
          </w:tcPr>
          <w:p>
            <w:pPr>
              <w:snapToGrid w:val="0"/>
              <w:jc w:val="center"/>
              <w:rPr>
                <w:sz w:val="18"/>
                <w:szCs w:val="18"/>
              </w:rPr>
            </w:pPr>
            <w:r>
              <w:rPr>
                <w:sz w:val="18"/>
                <w:szCs w:val="18"/>
              </w:rPr>
              <w:t>采样</w:t>
            </w:r>
          </w:p>
          <w:p>
            <w:pPr>
              <w:snapToGrid w:val="0"/>
              <w:jc w:val="center"/>
              <w:rPr>
                <w:sz w:val="18"/>
                <w:szCs w:val="18"/>
              </w:rPr>
            </w:pPr>
            <w:r>
              <w:rPr>
                <w:sz w:val="18"/>
                <w:szCs w:val="18"/>
              </w:rPr>
              <w:t>日期</w:t>
            </w:r>
          </w:p>
        </w:tc>
        <w:tc>
          <w:tcPr>
            <w:tcW w:w="439" w:type="pct"/>
            <w:vAlign w:val="center"/>
          </w:tcPr>
          <w:p>
            <w:pPr>
              <w:snapToGrid w:val="0"/>
              <w:jc w:val="center"/>
              <w:rPr>
                <w:sz w:val="18"/>
                <w:szCs w:val="18"/>
              </w:rPr>
            </w:pPr>
            <w:r>
              <w:rPr>
                <w:rFonts w:hint="eastAsia"/>
                <w:sz w:val="18"/>
                <w:szCs w:val="18"/>
              </w:rPr>
              <w:t>氟化物</w:t>
            </w:r>
          </w:p>
        </w:tc>
        <w:tc>
          <w:tcPr>
            <w:tcW w:w="323" w:type="pct"/>
            <w:vAlign w:val="center"/>
          </w:tcPr>
          <w:p>
            <w:pPr>
              <w:snapToGrid w:val="0"/>
              <w:jc w:val="center"/>
              <w:rPr>
                <w:sz w:val="18"/>
                <w:szCs w:val="18"/>
              </w:rPr>
            </w:pPr>
            <w:r>
              <w:rPr>
                <w:rFonts w:hint="eastAsia"/>
                <w:sz w:val="18"/>
                <w:szCs w:val="18"/>
              </w:rPr>
              <w:t>镉</w:t>
            </w:r>
          </w:p>
        </w:tc>
        <w:tc>
          <w:tcPr>
            <w:tcW w:w="343" w:type="pct"/>
            <w:vAlign w:val="center"/>
          </w:tcPr>
          <w:p>
            <w:pPr>
              <w:snapToGrid w:val="0"/>
              <w:jc w:val="center"/>
              <w:rPr>
                <w:sz w:val="18"/>
                <w:szCs w:val="18"/>
              </w:rPr>
            </w:pPr>
            <w:r>
              <w:rPr>
                <w:rFonts w:hint="eastAsia"/>
                <w:sz w:val="18"/>
                <w:szCs w:val="18"/>
              </w:rPr>
              <w:t>铁</w:t>
            </w:r>
          </w:p>
        </w:tc>
        <w:tc>
          <w:tcPr>
            <w:tcW w:w="344" w:type="pct"/>
            <w:vAlign w:val="center"/>
          </w:tcPr>
          <w:p>
            <w:pPr>
              <w:pStyle w:val="24"/>
              <w:pBdr>
                <w:bottom w:val="none" w:color="auto" w:sz="0" w:space="0"/>
              </w:pBdr>
              <w:tabs>
                <w:tab w:val="clear" w:pos="4153"/>
                <w:tab w:val="clear" w:pos="8306"/>
              </w:tabs>
            </w:pPr>
            <w:r>
              <w:rPr>
                <w:rFonts w:hint="eastAsia"/>
              </w:rPr>
              <w:t>锰</w:t>
            </w:r>
          </w:p>
        </w:tc>
        <w:tc>
          <w:tcPr>
            <w:tcW w:w="335" w:type="pct"/>
            <w:vAlign w:val="center"/>
          </w:tcPr>
          <w:p>
            <w:pPr>
              <w:snapToGrid w:val="0"/>
              <w:jc w:val="center"/>
              <w:rPr>
                <w:sz w:val="18"/>
                <w:szCs w:val="18"/>
              </w:rPr>
            </w:pPr>
            <w:r>
              <w:rPr>
                <w:rFonts w:hint="eastAsia"/>
                <w:sz w:val="18"/>
                <w:szCs w:val="18"/>
              </w:rPr>
              <w:t>溶解性总固体</w:t>
            </w:r>
          </w:p>
        </w:tc>
        <w:tc>
          <w:tcPr>
            <w:tcW w:w="388" w:type="pct"/>
            <w:vAlign w:val="center"/>
          </w:tcPr>
          <w:p>
            <w:pPr>
              <w:snapToGrid w:val="0"/>
              <w:jc w:val="center"/>
              <w:rPr>
                <w:sz w:val="18"/>
                <w:szCs w:val="18"/>
              </w:rPr>
            </w:pPr>
            <w:r>
              <w:rPr>
                <w:rFonts w:hint="eastAsia"/>
                <w:sz w:val="18"/>
                <w:szCs w:val="18"/>
              </w:rPr>
              <w:t>耗氧量</w:t>
            </w:r>
          </w:p>
        </w:tc>
        <w:tc>
          <w:tcPr>
            <w:tcW w:w="407" w:type="pct"/>
            <w:vAlign w:val="center"/>
          </w:tcPr>
          <w:p>
            <w:pPr>
              <w:snapToGrid w:val="0"/>
              <w:jc w:val="center"/>
              <w:rPr>
                <w:sz w:val="18"/>
                <w:szCs w:val="18"/>
              </w:rPr>
            </w:pPr>
            <w:r>
              <w:rPr>
                <w:rFonts w:hint="eastAsia"/>
                <w:sz w:val="18"/>
                <w:szCs w:val="18"/>
              </w:rPr>
              <w:t>硫酸盐</w:t>
            </w:r>
          </w:p>
        </w:tc>
        <w:tc>
          <w:tcPr>
            <w:tcW w:w="339" w:type="pct"/>
            <w:vAlign w:val="center"/>
          </w:tcPr>
          <w:p>
            <w:pPr>
              <w:snapToGrid w:val="0"/>
              <w:jc w:val="center"/>
              <w:rPr>
                <w:sz w:val="18"/>
                <w:szCs w:val="18"/>
              </w:rPr>
            </w:pPr>
            <w:r>
              <w:rPr>
                <w:rFonts w:hint="eastAsia"/>
                <w:sz w:val="18"/>
                <w:szCs w:val="18"/>
              </w:rPr>
              <w:t>氯化物</w:t>
            </w:r>
          </w:p>
        </w:tc>
        <w:tc>
          <w:tcPr>
            <w:tcW w:w="412" w:type="pct"/>
            <w:vAlign w:val="center"/>
          </w:tcPr>
          <w:p>
            <w:pPr>
              <w:snapToGrid w:val="0"/>
              <w:jc w:val="center"/>
              <w:rPr>
                <w:sz w:val="18"/>
                <w:szCs w:val="18"/>
              </w:rPr>
            </w:pPr>
            <w:r>
              <w:rPr>
                <w:rFonts w:hint="eastAsia"/>
                <w:sz w:val="18"/>
                <w:szCs w:val="18"/>
              </w:rPr>
              <w:t>总大肠菌群</w:t>
            </w:r>
          </w:p>
        </w:tc>
        <w:tc>
          <w:tcPr>
            <w:tcW w:w="323" w:type="pct"/>
            <w:vAlign w:val="center"/>
          </w:tcPr>
          <w:p>
            <w:pPr>
              <w:snapToGrid w:val="0"/>
              <w:jc w:val="center"/>
              <w:rPr>
                <w:sz w:val="18"/>
                <w:szCs w:val="18"/>
              </w:rPr>
            </w:pPr>
            <w:r>
              <w:rPr>
                <w:rFonts w:hint="eastAsia"/>
                <w:sz w:val="18"/>
                <w:szCs w:val="18"/>
              </w:rPr>
              <w:t>菌落总数</w:t>
            </w:r>
          </w:p>
          <w:p>
            <w:pPr>
              <w:snapToGrid w:val="0"/>
              <w:jc w:val="center"/>
              <w:rPr>
                <w:sz w:val="18"/>
                <w:szCs w:val="18"/>
              </w:rPr>
            </w:pPr>
            <w:r>
              <w:rPr>
                <w:rFonts w:hint="eastAsia"/>
                <w:sz w:val="18"/>
                <w:szCs w:val="18"/>
              </w:rPr>
              <w:t>CEU/mL</w:t>
            </w:r>
          </w:p>
        </w:tc>
        <w:tc>
          <w:tcPr>
            <w:tcW w:w="556" w:type="pct"/>
            <w:vAlign w:val="center"/>
          </w:tcPr>
          <w:p>
            <w:pPr>
              <w:snapToGrid w:val="0"/>
              <w:jc w:val="center"/>
            </w:pPr>
            <w:r>
              <w:rPr>
                <w:rFonts w:hint="eastAsia"/>
                <w:sz w:val="18"/>
                <w:szCs w:val="1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2" w:type="pct"/>
            <w:vAlign w:val="center"/>
          </w:tcPr>
          <w:p>
            <w:pPr>
              <w:snapToGrid w:val="0"/>
              <w:jc w:val="center"/>
              <w:rPr>
                <w:sz w:val="18"/>
                <w:szCs w:val="18"/>
              </w:rPr>
            </w:pPr>
            <w:r>
              <w:rPr>
                <w:rFonts w:hint="eastAsia"/>
                <w:sz w:val="18"/>
                <w:szCs w:val="18"/>
              </w:rPr>
              <w:t>上游企业自备水井</w:t>
            </w:r>
          </w:p>
        </w:tc>
        <w:tc>
          <w:tcPr>
            <w:tcW w:w="305" w:type="pct"/>
            <w:gridSpan w:val="2"/>
            <w:vAlign w:val="center"/>
          </w:tcPr>
          <w:p>
            <w:pPr>
              <w:pStyle w:val="24"/>
              <w:pBdr>
                <w:bottom w:val="none" w:color="auto" w:sz="0" w:space="0"/>
              </w:pBdr>
              <w:tabs>
                <w:tab w:val="clear" w:pos="4153"/>
                <w:tab w:val="clear" w:pos="8306"/>
              </w:tabs>
            </w:pPr>
            <w:r>
              <w:rPr>
                <w:rFonts w:hint="eastAsia"/>
              </w:rPr>
              <w:t>12.20</w:t>
            </w:r>
          </w:p>
        </w:tc>
        <w:tc>
          <w:tcPr>
            <w:tcW w:w="439" w:type="pct"/>
            <w:vAlign w:val="center"/>
          </w:tcPr>
          <w:p>
            <w:pPr>
              <w:snapToGrid w:val="0"/>
              <w:jc w:val="center"/>
              <w:rPr>
                <w:sz w:val="18"/>
                <w:szCs w:val="18"/>
              </w:rPr>
            </w:pPr>
            <w:r>
              <w:rPr>
                <w:rFonts w:hint="eastAsia"/>
                <w:sz w:val="18"/>
                <w:szCs w:val="18"/>
              </w:rPr>
              <w:t>0.27</w:t>
            </w:r>
          </w:p>
        </w:tc>
        <w:tc>
          <w:tcPr>
            <w:tcW w:w="323" w:type="pct"/>
            <w:vAlign w:val="center"/>
          </w:tcPr>
          <w:p>
            <w:pPr>
              <w:snapToGrid w:val="0"/>
              <w:jc w:val="center"/>
              <w:rPr>
                <w:sz w:val="18"/>
                <w:szCs w:val="18"/>
              </w:rPr>
            </w:pPr>
            <w:r>
              <w:rPr>
                <w:rFonts w:hint="eastAsia"/>
                <w:sz w:val="18"/>
                <w:szCs w:val="18"/>
              </w:rPr>
              <w:t>0.0005L</w:t>
            </w:r>
          </w:p>
        </w:tc>
        <w:tc>
          <w:tcPr>
            <w:tcW w:w="343" w:type="pct"/>
            <w:vAlign w:val="center"/>
          </w:tcPr>
          <w:p>
            <w:pPr>
              <w:snapToGrid w:val="0"/>
              <w:jc w:val="center"/>
              <w:rPr>
                <w:sz w:val="18"/>
                <w:szCs w:val="18"/>
              </w:rPr>
            </w:pPr>
            <w:r>
              <w:rPr>
                <w:rFonts w:hint="eastAsia"/>
                <w:sz w:val="18"/>
                <w:szCs w:val="18"/>
              </w:rPr>
              <w:t>0.03L</w:t>
            </w:r>
          </w:p>
        </w:tc>
        <w:tc>
          <w:tcPr>
            <w:tcW w:w="344" w:type="pct"/>
            <w:vAlign w:val="center"/>
          </w:tcPr>
          <w:p>
            <w:pPr>
              <w:snapToGrid w:val="0"/>
              <w:jc w:val="center"/>
              <w:rPr>
                <w:sz w:val="18"/>
                <w:szCs w:val="18"/>
              </w:rPr>
            </w:pPr>
            <w:r>
              <w:rPr>
                <w:rFonts w:hint="eastAsia"/>
                <w:sz w:val="18"/>
                <w:szCs w:val="18"/>
              </w:rPr>
              <w:t>0.01L</w:t>
            </w:r>
          </w:p>
        </w:tc>
        <w:tc>
          <w:tcPr>
            <w:tcW w:w="335" w:type="pct"/>
            <w:vAlign w:val="center"/>
          </w:tcPr>
          <w:p>
            <w:pPr>
              <w:snapToGrid w:val="0"/>
              <w:jc w:val="center"/>
              <w:rPr>
                <w:sz w:val="18"/>
                <w:szCs w:val="18"/>
              </w:rPr>
            </w:pPr>
            <w:r>
              <w:rPr>
                <w:rFonts w:hint="eastAsia"/>
                <w:sz w:val="18"/>
                <w:szCs w:val="18"/>
              </w:rPr>
              <w:t>398</w:t>
            </w:r>
          </w:p>
        </w:tc>
        <w:tc>
          <w:tcPr>
            <w:tcW w:w="388" w:type="pct"/>
            <w:vAlign w:val="center"/>
          </w:tcPr>
          <w:p>
            <w:pPr>
              <w:snapToGrid w:val="0"/>
              <w:jc w:val="center"/>
              <w:rPr>
                <w:sz w:val="18"/>
                <w:szCs w:val="18"/>
              </w:rPr>
            </w:pPr>
            <w:r>
              <w:rPr>
                <w:rFonts w:hint="eastAsia"/>
                <w:sz w:val="18"/>
                <w:szCs w:val="18"/>
              </w:rPr>
              <w:t>1.03</w:t>
            </w:r>
          </w:p>
        </w:tc>
        <w:tc>
          <w:tcPr>
            <w:tcW w:w="407" w:type="pct"/>
            <w:vAlign w:val="center"/>
          </w:tcPr>
          <w:p>
            <w:pPr>
              <w:snapToGrid w:val="0"/>
              <w:jc w:val="center"/>
              <w:rPr>
                <w:sz w:val="18"/>
                <w:szCs w:val="18"/>
              </w:rPr>
            </w:pPr>
            <w:r>
              <w:rPr>
                <w:rFonts w:hint="eastAsia"/>
                <w:sz w:val="18"/>
                <w:szCs w:val="18"/>
              </w:rPr>
              <w:t>98</w:t>
            </w:r>
          </w:p>
        </w:tc>
        <w:tc>
          <w:tcPr>
            <w:tcW w:w="339" w:type="pct"/>
            <w:vAlign w:val="center"/>
          </w:tcPr>
          <w:p>
            <w:pPr>
              <w:snapToGrid w:val="0"/>
              <w:jc w:val="center"/>
              <w:rPr>
                <w:sz w:val="18"/>
                <w:szCs w:val="18"/>
              </w:rPr>
            </w:pPr>
            <w:r>
              <w:rPr>
                <w:rFonts w:hint="eastAsia"/>
                <w:sz w:val="18"/>
                <w:szCs w:val="18"/>
              </w:rPr>
              <w:t>7.6</w:t>
            </w:r>
          </w:p>
        </w:tc>
        <w:tc>
          <w:tcPr>
            <w:tcW w:w="412" w:type="pct"/>
            <w:vAlign w:val="center"/>
          </w:tcPr>
          <w:p>
            <w:pPr>
              <w:snapToGrid w:val="0"/>
              <w:jc w:val="center"/>
              <w:rPr>
                <w:sz w:val="18"/>
                <w:szCs w:val="18"/>
              </w:rPr>
            </w:pPr>
            <w:r>
              <w:rPr>
                <w:rFonts w:hint="eastAsia"/>
                <w:sz w:val="18"/>
                <w:szCs w:val="18"/>
              </w:rPr>
              <w:t>2L</w:t>
            </w:r>
          </w:p>
        </w:tc>
        <w:tc>
          <w:tcPr>
            <w:tcW w:w="323" w:type="pct"/>
            <w:vAlign w:val="center"/>
          </w:tcPr>
          <w:p>
            <w:pPr>
              <w:snapToGrid w:val="0"/>
              <w:jc w:val="center"/>
              <w:rPr>
                <w:sz w:val="18"/>
                <w:szCs w:val="18"/>
              </w:rPr>
            </w:pPr>
            <w:r>
              <w:rPr>
                <w:rFonts w:hint="eastAsia"/>
                <w:sz w:val="18"/>
                <w:szCs w:val="18"/>
              </w:rPr>
              <w:t>32</w:t>
            </w:r>
          </w:p>
        </w:tc>
        <w:tc>
          <w:tcPr>
            <w:tcW w:w="556" w:type="pct"/>
            <w:vAlign w:val="center"/>
          </w:tcPr>
          <w:p>
            <w:pPr>
              <w:snapToGrid w:val="0"/>
              <w:jc w:val="center"/>
              <w:rPr>
                <w:sz w:val="18"/>
                <w:szCs w:val="18"/>
              </w:rPr>
            </w:pPr>
            <w:r>
              <w:rPr>
                <w:rFonts w:hint="eastAsia"/>
                <w:sz w:val="18"/>
                <w:szCs w:val="1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vAlign w:val="center"/>
          </w:tcPr>
          <w:p>
            <w:pPr>
              <w:snapToGrid w:val="0"/>
              <w:jc w:val="center"/>
              <w:rPr>
                <w:sz w:val="18"/>
                <w:szCs w:val="18"/>
              </w:rPr>
            </w:pPr>
            <w:r>
              <w:rPr>
                <w:sz w:val="18"/>
                <w:szCs w:val="18"/>
              </w:rPr>
              <w:t>达标率%</w:t>
            </w:r>
          </w:p>
        </w:tc>
        <w:tc>
          <w:tcPr>
            <w:tcW w:w="439"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343" w:type="pct"/>
            <w:vAlign w:val="center"/>
          </w:tcPr>
          <w:p>
            <w:pPr>
              <w:snapToGrid w:val="0"/>
              <w:jc w:val="center"/>
              <w:rPr>
                <w:sz w:val="18"/>
                <w:szCs w:val="18"/>
              </w:rPr>
            </w:pPr>
            <w:r>
              <w:rPr>
                <w:sz w:val="18"/>
                <w:szCs w:val="18"/>
              </w:rPr>
              <w:t>100</w:t>
            </w:r>
          </w:p>
        </w:tc>
        <w:tc>
          <w:tcPr>
            <w:tcW w:w="344" w:type="pct"/>
            <w:vAlign w:val="center"/>
          </w:tcPr>
          <w:p>
            <w:pPr>
              <w:snapToGrid w:val="0"/>
              <w:jc w:val="center"/>
              <w:rPr>
                <w:sz w:val="18"/>
                <w:szCs w:val="18"/>
              </w:rPr>
            </w:pPr>
            <w:r>
              <w:rPr>
                <w:sz w:val="18"/>
                <w:szCs w:val="18"/>
              </w:rPr>
              <w:t>100</w:t>
            </w:r>
          </w:p>
        </w:tc>
        <w:tc>
          <w:tcPr>
            <w:tcW w:w="335" w:type="pct"/>
            <w:vAlign w:val="center"/>
          </w:tcPr>
          <w:p>
            <w:pPr>
              <w:snapToGrid w:val="0"/>
              <w:jc w:val="center"/>
              <w:rPr>
                <w:sz w:val="18"/>
                <w:szCs w:val="18"/>
              </w:rPr>
            </w:pPr>
            <w:r>
              <w:rPr>
                <w:sz w:val="18"/>
                <w:szCs w:val="18"/>
              </w:rPr>
              <w:t>100</w:t>
            </w:r>
          </w:p>
        </w:tc>
        <w:tc>
          <w:tcPr>
            <w:tcW w:w="388" w:type="pct"/>
            <w:vAlign w:val="center"/>
          </w:tcPr>
          <w:p>
            <w:pPr>
              <w:snapToGrid w:val="0"/>
              <w:jc w:val="center"/>
              <w:rPr>
                <w:sz w:val="18"/>
                <w:szCs w:val="18"/>
              </w:rPr>
            </w:pPr>
            <w:r>
              <w:rPr>
                <w:sz w:val="18"/>
                <w:szCs w:val="18"/>
              </w:rPr>
              <w:t>100</w:t>
            </w:r>
          </w:p>
        </w:tc>
        <w:tc>
          <w:tcPr>
            <w:tcW w:w="407" w:type="pct"/>
            <w:vAlign w:val="center"/>
          </w:tcPr>
          <w:p>
            <w:pPr>
              <w:snapToGrid w:val="0"/>
              <w:jc w:val="center"/>
              <w:rPr>
                <w:sz w:val="18"/>
                <w:szCs w:val="18"/>
              </w:rPr>
            </w:pPr>
            <w:r>
              <w:rPr>
                <w:sz w:val="18"/>
                <w:szCs w:val="18"/>
              </w:rPr>
              <w:t>100</w:t>
            </w:r>
          </w:p>
        </w:tc>
        <w:tc>
          <w:tcPr>
            <w:tcW w:w="339" w:type="pct"/>
            <w:vAlign w:val="center"/>
          </w:tcPr>
          <w:p>
            <w:pPr>
              <w:snapToGrid w:val="0"/>
              <w:jc w:val="center"/>
              <w:rPr>
                <w:sz w:val="18"/>
                <w:szCs w:val="18"/>
              </w:rPr>
            </w:pPr>
            <w:r>
              <w:rPr>
                <w:sz w:val="18"/>
                <w:szCs w:val="18"/>
              </w:rPr>
              <w:t>100</w:t>
            </w:r>
          </w:p>
        </w:tc>
        <w:tc>
          <w:tcPr>
            <w:tcW w:w="412"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556" w:type="pct"/>
            <w:vAlign w:val="center"/>
          </w:tcPr>
          <w:p>
            <w:pPr>
              <w:snapToGrid w:val="0"/>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2" w:type="pct"/>
            <w:vAlign w:val="center"/>
          </w:tcPr>
          <w:p>
            <w:pPr>
              <w:snapToGrid w:val="0"/>
              <w:jc w:val="center"/>
              <w:rPr>
                <w:sz w:val="18"/>
                <w:szCs w:val="18"/>
              </w:rPr>
            </w:pPr>
            <w:r>
              <w:rPr>
                <w:rFonts w:hint="eastAsia"/>
                <w:sz w:val="18"/>
                <w:szCs w:val="18"/>
              </w:rPr>
              <w:t>下游企业自备水井</w:t>
            </w:r>
          </w:p>
        </w:tc>
        <w:tc>
          <w:tcPr>
            <w:tcW w:w="305" w:type="pct"/>
            <w:gridSpan w:val="2"/>
            <w:vAlign w:val="center"/>
          </w:tcPr>
          <w:p>
            <w:pPr>
              <w:pStyle w:val="24"/>
              <w:pBdr>
                <w:bottom w:val="none" w:color="auto" w:sz="0" w:space="0"/>
              </w:pBdr>
              <w:tabs>
                <w:tab w:val="clear" w:pos="4153"/>
                <w:tab w:val="clear" w:pos="8306"/>
              </w:tabs>
            </w:pPr>
            <w:r>
              <w:rPr>
                <w:rFonts w:hint="eastAsia"/>
              </w:rPr>
              <w:t>12.20</w:t>
            </w:r>
          </w:p>
        </w:tc>
        <w:tc>
          <w:tcPr>
            <w:tcW w:w="439" w:type="pct"/>
            <w:vAlign w:val="center"/>
          </w:tcPr>
          <w:p>
            <w:pPr>
              <w:snapToGrid w:val="0"/>
              <w:jc w:val="center"/>
              <w:rPr>
                <w:sz w:val="18"/>
                <w:szCs w:val="18"/>
              </w:rPr>
            </w:pPr>
            <w:r>
              <w:rPr>
                <w:rFonts w:hint="eastAsia"/>
                <w:sz w:val="18"/>
                <w:szCs w:val="18"/>
              </w:rPr>
              <w:t>0.25</w:t>
            </w:r>
          </w:p>
        </w:tc>
        <w:tc>
          <w:tcPr>
            <w:tcW w:w="323" w:type="pct"/>
            <w:vAlign w:val="center"/>
          </w:tcPr>
          <w:p>
            <w:pPr>
              <w:snapToGrid w:val="0"/>
              <w:jc w:val="center"/>
              <w:rPr>
                <w:sz w:val="18"/>
                <w:szCs w:val="18"/>
              </w:rPr>
            </w:pPr>
            <w:r>
              <w:rPr>
                <w:rFonts w:hint="eastAsia"/>
                <w:sz w:val="18"/>
                <w:szCs w:val="18"/>
              </w:rPr>
              <w:t>0.0005L</w:t>
            </w:r>
          </w:p>
        </w:tc>
        <w:tc>
          <w:tcPr>
            <w:tcW w:w="343" w:type="pct"/>
            <w:vAlign w:val="center"/>
          </w:tcPr>
          <w:p>
            <w:pPr>
              <w:snapToGrid w:val="0"/>
              <w:jc w:val="center"/>
              <w:rPr>
                <w:sz w:val="18"/>
                <w:szCs w:val="18"/>
              </w:rPr>
            </w:pPr>
            <w:r>
              <w:rPr>
                <w:rFonts w:hint="eastAsia"/>
                <w:sz w:val="18"/>
                <w:szCs w:val="18"/>
              </w:rPr>
              <w:t>0.03L</w:t>
            </w:r>
          </w:p>
        </w:tc>
        <w:tc>
          <w:tcPr>
            <w:tcW w:w="344" w:type="pct"/>
            <w:vAlign w:val="center"/>
          </w:tcPr>
          <w:p>
            <w:pPr>
              <w:snapToGrid w:val="0"/>
              <w:jc w:val="center"/>
              <w:rPr>
                <w:sz w:val="18"/>
                <w:szCs w:val="18"/>
              </w:rPr>
            </w:pPr>
            <w:r>
              <w:rPr>
                <w:rFonts w:hint="eastAsia"/>
                <w:sz w:val="18"/>
                <w:szCs w:val="18"/>
              </w:rPr>
              <w:t>0.01L</w:t>
            </w:r>
          </w:p>
        </w:tc>
        <w:tc>
          <w:tcPr>
            <w:tcW w:w="335" w:type="pct"/>
            <w:vAlign w:val="center"/>
          </w:tcPr>
          <w:p>
            <w:pPr>
              <w:snapToGrid w:val="0"/>
              <w:jc w:val="center"/>
              <w:rPr>
                <w:sz w:val="18"/>
                <w:szCs w:val="18"/>
              </w:rPr>
            </w:pPr>
            <w:r>
              <w:rPr>
                <w:rFonts w:hint="eastAsia"/>
                <w:sz w:val="18"/>
                <w:szCs w:val="18"/>
              </w:rPr>
              <w:t>415</w:t>
            </w:r>
          </w:p>
        </w:tc>
        <w:tc>
          <w:tcPr>
            <w:tcW w:w="388" w:type="pct"/>
            <w:vAlign w:val="center"/>
          </w:tcPr>
          <w:p>
            <w:pPr>
              <w:snapToGrid w:val="0"/>
              <w:jc w:val="center"/>
              <w:rPr>
                <w:sz w:val="18"/>
                <w:szCs w:val="18"/>
              </w:rPr>
            </w:pPr>
            <w:r>
              <w:rPr>
                <w:rFonts w:hint="eastAsia"/>
                <w:sz w:val="18"/>
                <w:szCs w:val="18"/>
              </w:rPr>
              <w:t>1.09</w:t>
            </w:r>
          </w:p>
        </w:tc>
        <w:tc>
          <w:tcPr>
            <w:tcW w:w="407" w:type="pct"/>
            <w:vAlign w:val="center"/>
          </w:tcPr>
          <w:p>
            <w:pPr>
              <w:snapToGrid w:val="0"/>
              <w:jc w:val="center"/>
              <w:rPr>
                <w:sz w:val="18"/>
                <w:szCs w:val="18"/>
              </w:rPr>
            </w:pPr>
            <w:r>
              <w:rPr>
                <w:rFonts w:hint="eastAsia"/>
                <w:sz w:val="18"/>
                <w:szCs w:val="18"/>
              </w:rPr>
              <w:t>85</w:t>
            </w:r>
          </w:p>
        </w:tc>
        <w:tc>
          <w:tcPr>
            <w:tcW w:w="339" w:type="pct"/>
            <w:vAlign w:val="center"/>
          </w:tcPr>
          <w:p>
            <w:pPr>
              <w:snapToGrid w:val="0"/>
              <w:jc w:val="center"/>
              <w:rPr>
                <w:sz w:val="18"/>
                <w:szCs w:val="18"/>
              </w:rPr>
            </w:pPr>
            <w:r>
              <w:rPr>
                <w:rFonts w:hint="eastAsia"/>
                <w:sz w:val="18"/>
                <w:szCs w:val="18"/>
              </w:rPr>
              <w:t>6.7</w:t>
            </w:r>
          </w:p>
        </w:tc>
        <w:tc>
          <w:tcPr>
            <w:tcW w:w="412" w:type="pct"/>
            <w:vAlign w:val="center"/>
          </w:tcPr>
          <w:p>
            <w:pPr>
              <w:snapToGrid w:val="0"/>
              <w:jc w:val="center"/>
              <w:rPr>
                <w:sz w:val="18"/>
                <w:szCs w:val="18"/>
              </w:rPr>
            </w:pPr>
            <w:r>
              <w:rPr>
                <w:rFonts w:hint="eastAsia"/>
                <w:sz w:val="18"/>
                <w:szCs w:val="18"/>
              </w:rPr>
              <w:t>2L</w:t>
            </w:r>
          </w:p>
        </w:tc>
        <w:tc>
          <w:tcPr>
            <w:tcW w:w="323" w:type="pct"/>
            <w:vAlign w:val="center"/>
          </w:tcPr>
          <w:p>
            <w:pPr>
              <w:snapToGrid w:val="0"/>
              <w:jc w:val="center"/>
              <w:rPr>
                <w:sz w:val="18"/>
                <w:szCs w:val="18"/>
              </w:rPr>
            </w:pPr>
            <w:r>
              <w:rPr>
                <w:rFonts w:hint="eastAsia"/>
                <w:sz w:val="18"/>
                <w:szCs w:val="18"/>
              </w:rPr>
              <w:t>21</w:t>
            </w:r>
          </w:p>
        </w:tc>
        <w:tc>
          <w:tcPr>
            <w:tcW w:w="556" w:type="pct"/>
            <w:vAlign w:val="center"/>
          </w:tcPr>
          <w:p>
            <w:pPr>
              <w:snapToGrid w:val="0"/>
              <w:jc w:val="center"/>
              <w:rPr>
                <w:sz w:val="18"/>
                <w:szCs w:val="18"/>
              </w:rPr>
            </w:pPr>
            <w:r>
              <w:rPr>
                <w:rFonts w:hint="eastAsia"/>
                <w:sz w:val="18"/>
                <w:szCs w:val="1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vAlign w:val="center"/>
          </w:tcPr>
          <w:p>
            <w:pPr>
              <w:pStyle w:val="24"/>
              <w:pBdr>
                <w:bottom w:val="none" w:color="auto" w:sz="0" w:space="0"/>
              </w:pBdr>
              <w:tabs>
                <w:tab w:val="clear" w:pos="4153"/>
                <w:tab w:val="clear" w:pos="8306"/>
              </w:tabs>
            </w:pPr>
            <w:r>
              <w:rPr>
                <w:rFonts w:hint="eastAsia"/>
              </w:rPr>
              <w:t>达标率%</w:t>
            </w:r>
          </w:p>
        </w:tc>
        <w:tc>
          <w:tcPr>
            <w:tcW w:w="439"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343" w:type="pct"/>
            <w:vAlign w:val="center"/>
          </w:tcPr>
          <w:p>
            <w:pPr>
              <w:snapToGrid w:val="0"/>
              <w:jc w:val="center"/>
              <w:rPr>
                <w:sz w:val="18"/>
                <w:szCs w:val="18"/>
              </w:rPr>
            </w:pPr>
            <w:r>
              <w:rPr>
                <w:sz w:val="18"/>
                <w:szCs w:val="18"/>
              </w:rPr>
              <w:t>100</w:t>
            </w:r>
          </w:p>
        </w:tc>
        <w:tc>
          <w:tcPr>
            <w:tcW w:w="344" w:type="pct"/>
            <w:vAlign w:val="center"/>
          </w:tcPr>
          <w:p>
            <w:pPr>
              <w:snapToGrid w:val="0"/>
              <w:jc w:val="center"/>
              <w:rPr>
                <w:sz w:val="18"/>
                <w:szCs w:val="18"/>
              </w:rPr>
            </w:pPr>
            <w:r>
              <w:rPr>
                <w:sz w:val="18"/>
                <w:szCs w:val="18"/>
              </w:rPr>
              <w:t>100</w:t>
            </w:r>
          </w:p>
        </w:tc>
        <w:tc>
          <w:tcPr>
            <w:tcW w:w="335" w:type="pct"/>
            <w:vAlign w:val="center"/>
          </w:tcPr>
          <w:p>
            <w:pPr>
              <w:snapToGrid w:val="0"/>
              <w:jc w:val="center"/>
              <w:rPr>
                <w:sz w:val="18"/>
                <w:szCs w:val="18"/>
              </w:rPr>
            </w:pPr>
            <w:r>
              <w:rPr>
                <w:sz w:val="18"/>
                <w:szCs w:val="18"/>
              </w:rPr>
              <w:t>100</w:t>
            </w:r>
          </w:p>
        </w:tc>
        <w:tc>
          <w:tcPr>
            <w:tcW w:w="388" w:type="pct"/>
            <w:vAlign w:val="center"/>
          </w:tcPr>
          <w:p>
            <w:pPr>
              <w:snapToGrid w:val="0"/>
              <w:jc w:val="center"/>
              <w:rPr>
                <w:sz w:val="18"/>
                <w:szCs w:val="18"/>
              </w:rPr>
            </w:pPr>
            <w:r>
              <w:rPr>
                <w:sz w:val="18"/>
                <w:szCs w:val="18"/>
              </w:rPr>
              <w:t>100</w:t>
            </w:r>
          </w:p>
        </w:tc>
        <w:tc>
          <w:tcPr>
            <w:tcW w:w="407" w:type="pct"/>
            <w:vAlign w:val="center"/>
          </w:tcPr>
          <w:p>
            <w:pPr>
              <w:snapToGrid w:val="0"/>
              <w:jc w:val="center"/>
              <w:rPr>
                <w:sz w:val="18"/>
                <w:szCs w:val="18"/>
              </w:rPr>
            </w:pPr>
            <w:r>
              <w:rPr>
                <w:sz w:val="18"/>
                <w:szCs w:val="18"/>
              </w:rPr>
              <w:t>100</w:t>
            </w:r>
          </w:p>
        </w:tc>
        <w:tc>
          <w:tcPr>
            <w:tcW w:w="339" w:type="pct"/>
            <w:vAlign w:val="center"/>
          </w:tcPr>
          <w:p>
            <w:pPr>
              <w:snapToGrid w:val="0"/>
              <w:jc w:val="center"/>
              <w:rPr>
                <w:sz w:val="18"/>
                <w:szCs w:val="18"/>
              </w:rPr>
            </w:pPr>
            <w:r>
              <w:rPr>
                <w:sz w:val="18"/>
                <w:szCs w:val="18"/>
              </w:rPr>
              <w:t>100</w:t>
            </w:r>
          </w:p>
        </w:tc>
        <w:tc>
          <w:tcPr>
            <w:tcW w:w="412"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556" w:type="pct"/>
            <w:vAlign w:val="center"/>
          </w:tcPr>
          <w:p>
            <w:pPr>
              <w:snapToGrid w:val="0"/>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2" w:type="pct"/>
            <w:vAlign w:val="center"/>
          </w:tcPr>
          <w:p>
            <w:pPr>
              <w:snapToGrid w:val="0"/>
              <w:jc w:val="center"/>
              <w:rPr>
                <w:sz w:val="18"/>
                <w:szCs w:val="18"/>
              </w:rPr>
            </w:pPr>
            <w:r>
              <w:rPr>
                <w:rFonts w:hint="eastAsia"/>
                <w:sz w:val="18"/>
                <w:szCs w:val="18"/>
              </w:rPr>
              <w:t>后石湖村水井</w:t>
            </w:r>
          </w:p>
        </w:tc>
        <w:tc>
          <w:tcPr>
            <w:tcW w:w="305" w:type="pct"/>
            <w:gridSpan w:val="2"/>
            <w:vAlign w:val="center"/>
          </w:tcPr>
          <w:p>
            <w:pPr>
              <w:pStyle w:val="24"/>
              <w:pBdr>
                <w:bottom w:val="none" w:color="auto" w:sz="0" w:space="0"/>
              </w:pBdr>
              <w:tabs>
                <w:tab w:val="clear" w:pos="4153"/>
                <w:tab w:val="clear" w:pos="8306"/>
              </w:tabs>
            </w:pPr>
            <w:r>
              <w:rPr>
                <w:rFonts w:hint="eastAsia"/>
              </w:rPr>
              <w:t>12.20</w:t>
            </w:r>
          </w:p>
        </w:tc>
        <w:tc>
          <w:tcPr>
            <w:tcW w:w="439" w:type="pct"/>
            <w:vAlign w:val="center"/>
          </w:tcPr>
          <w:p>
            <w:pPr>
              <w:snapToGrid w:val="0"/>
              <w:jc w:val="center"/>
              <w:rPr>
                <w:sz w:val="18"/>
                <w:szCs w:val="18"/>
              </w:rPr>
            </w:pPr>
            <w:r>
              <w:rPr>
                <w:rFonts w:hint="eastAsia"/>
                <w:sz w:val="18"/>
                <w:szCs w:val="18"/>
              </w:rPr>
              <w:t>0.20</w:t>
            </w:r>
          </w:p>
        </w:tc>
        <w:tc>
          <w:tcPr>
            <w:tcW w:w="323" w:type="pct"/>
            <w:vAlign w:val="center"/>
          </w:tcPr>
          <w:p>
            <w:pPr>
              <w:snapToGrid w:val="0"/>
              <w:jc w:val="center"/>
              <w:rPr>
                <w:sz w:val="18"/>
                <w:szCs w:val="18"/>
              </w:rPr>
            </w:pPr>
            <w:r>
              <w:rPr>
                <w:rFonts w:hint="eastAsia"/>
                <w:sz w:val="18"/>
                <w:szCs w:val="18"/>
              </w:rPr>
              <w:t>0.0005L</w:t>
            </w:r>
          </w:p>
        </w:tc>
        <w:tc>
          <w:tcPr>
            <w:tcW w:w="343" w:type="pct"/>
            <w:vAlign w:val="center"/>
          </w:tcPr>
          <w:p>
            <w:pPr>
              <w:snapToGrid w:val="0"/>
              <w:jc w:val="center"/>
              <w:rPr>
                <w:sz w:val="18"/>
                <w:szCs w:val="18"/>
              </w:rPr>
            </w:pPr>
            <w:r>
              <w:rPr>
                <w:rFonts w:hint="eastAsia"/>
                <w:sz w:val="18"/>
                <w:szCs w:val="18"/>
              </w:rPr>
              <w:t>0.03L</w:t>
            </w:r>
          </w:p>
        </w:tc>
        <w:tc>
          <w:tcPr>
            <w:tcW w:w="344" w:type="pct"/>
            <w:vAlign w:val="center"/>
          </w:tcPr>
          <w:p>
            <w:pPr>
              <w:snapToGrid w:val="0"/>
              <w:jc w:val="center"/>
              <w:rPr>
                <w:sz w:val="18"/>
                <w:szCs w:val="18"/>
              </w:rPr>
            </w:pPr>
            <w:r>
              <w:rPr>
                <w:rFonts w:hint="eastAsia"/>
                <w:sz w:val="18"/>
                <w:szCs w:val="18"/>
              </w:rPr>
              <w:t>0.01L</w:t>
            </w:r>
          </w:p>
        </w:tc>
        <w:tc>
          <w:tcPr>
            <w:tcW w:w="335" w:type="pct"/>
            <w:vAlign w:val="center"/>
          </w:tcPr>
          <w:p>
            <w:pPr>
              <w:snapToGrid w:val="0"/>
              <w:jc w:val="center"/>
              <w:rPr>
                <w:sz w:val="18"/>
                <w:szCs w:val="18"/>
              </w:rPr>
            </w:pPr>
            <w:r>
              <w:rPr>
                <w:rFonts w:hint="eastAsia"/>
                <w:sz w:val="18"/>
                <w:szCs w:val="18"/>
              </w:rPr>
              <w:t>363</w:t>
            </w:r>
          </w:p>
        </w:tc>
        <w:tc>
          <w:tcPr>
            <w:tcW w:w="388" w:type="pct"/>
            <w:vAlign w:val="center"/>
          </w:tcPr>
          <w:p>
            <w:pPr>
              <w:snapToGrid w:val="0"/>
              <w:jc w:val="center"/>
              <w:rPr>
                <w:sz w:val="18"/>
                <w:szCs w:val="18"/>
              </w:rPr>
            </w:pPr>
            <w:r>
              <w:rPr>
                <w:rFonts w:hint="eastAsia"/>
                <w:sz w:val="18"/>
                <w:szCs w:val="18"/>
              </w:rPr>
              <w:t>0.99</w:t>
            </w:r>
          </w:p>
        </w:tc>
        <w:tc>
          <w:tcPr>
            <w:tcW w:w="407" w:type="pct"/>
            <w:vAlign w:val="center"/>
          </w:tcPr>
          <w:p>
            <w:pPr>
              <w:snapToGrid w:val="0"/>
              <w:jc w:val="center"/>
              <w:rPr>
                <w:sz w:val="18"/>
                <w:szCs w:val="18"/>
              </w:rPr>
            </w:pPr>
            <w:r>
              <w:rPr>
                <w:rFonts w:hint="eastAsia"/>
                <w:sz w:val="18"/>
                <w:szCs w:val="18"/>
              </w:rPr>
              <w:t>98</w:t>
            </w:r>
          </w:p>
        </w:tc>
        <w:tc>
          <w:tcPr>
            <w:tcW w:w="339" w:type="pct"/>
            <w:vAlign w:val="center"/>
          </w:tcPr>
          <w:p>
            <w:pPr>
              <w:snapToGrid w:val="0"/>
              <w:jc w:val="center"/>
              <w:rPr>
                <w:sz w:val="18"/>
                <w:szCs w:val="18"/>
              </w:rPr>
            </w:pPr>
            <w:r>
              <w:rPr>
                <w:rFonts w:hint="eastAsia"/>
                <w:sz w:val="18"/>
                <w:szCs w:val="18"/>
              </w:rPr>
              <w:t>7.0</w:t>
            </w:r>
          </w:p>
        </w:tc>
        <w:tc>
          <w:tcPr>
            <w:tcW w:w="412" w:type="pct"/>
            <w:vAlign w:val="center"/>
          </w:tcPr>
          <w:p>
            <w:pPr>
              <w:snapToGrid w:val="0"/>
              <w:jc w:val="center"/>
              <w:rPr>
                <w:sz w:val="18"/>
                <w:szCs w:val="18"/>
              </w:rPr>
            </w:pPr>
            <w:r>
              <w:rPr>
                <w:rFonts w:hint="eastAsia"/>
                <w:sz w:val="18"/>
                <w:szCs w:val="18"/>
              </w:rPr>
              <w:t>2L</w:t>
            </w:r>
          </w:p>
        </w:tc>
        <w:tc>
          <w:tcPr>
            <w:tcW w:w="323" w:type="pct"/>
            <w:vAlign w:val="center"/>
          </w:tcPr>
          <w:p>
            <w:pPr>
              <w:snapToGrid w:val="0"/>
              <w:jc w:val="center"/>
              <w:rPr>
                <w:sz w:val="18"/>
                <w:szCs w:val="18"/>
              </w:rPr>
            </w:pPr>
            <w:r>
              <w:rPr>
                <w:rFonts w:hint="eastAsia"/>
                <w:sz w:val="18"/>
                <w:szCs w:val="18"/>
              </w:rPr>
              <w:t>18</w:t>
            </w:r>
          </w:p>
        </w:tc>
        <w:tc>
          <w:tcPr>
            <w:tcW w:w="556" w:type="pct"/>
            <w:vAlign w:val="center"/>
          </w:tcPr>
          <w:p>
            <w:pPr>
              <w:snapToGrid w:val="0"/>
              <w:jc w:val="center"/>
              <w:rPr>
                <w:sz w:val="18"/>
                <w:szCs w:val="18"/>
              </w:rPr>
            </w:pPr>
            <w:r>
              <w:rPr>
                <w:rFonts w:hint="eastAsia"/>
                <w:sz w:val="18"/>
                <w:szCs w:val="1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vAlign w:val="center"/>
          </w:tcPr>
          <w:p>
            <w:pPr>
              <w:snapToGrid w:val="0"/>
              <w:jc w:val="center"/>
              <w:rPr>
                <w:sz w:val="18"/>
                <w:szCs w:val="18"/>
              </w:rPr>
            </w:pPr>
            <w:r>
              <w:rPr>
                <w:sz w:val="18"/>
                <w:szCs w:val="18"/>
              </w:rPr>
              <w:t>达标率%</w:t>
            </w:r>
          </w:p>
        </w:tc>
        <w:tc>
          <w:tcPr>
            <w:tcW w:w="439" w:type="pct"/>
            <w:vAlign w:val="center"/>
          </w:tcPr>
          <w:p>
            <w:pPr>
              <w:snapToGrid w:val="0"/>
              <w:jc w:val="center"/>
            </w:pPr>
            <w:r>
              <w:rPr>
                <w:sz w:val="18"/>
                <w:szCs w:val="18"/>
              </w:rPr>
              <w:t>100</w:t>
            </w:r>
          </w:p>
        </w:tc>
        <w:tc>
          <w:tcPr>
            <w:tcW w:w="323" w:type="pct"/>
            <w:vAlign w:val="center"/>
          </w:tcPr>
          <w:p>
            <w:pPr>
              <w:snapToGrid w:val="0"/>
              <w:jc w:val="center"/>
              <w:rPr>
                <w:sz w:val="18"/>
                <w:szCs w:val="18"/>
              </w:rPr>
            </w:pPr>
            <w:r>
              <w:rPr>
                <w:sz w:val="18"/>
                <w:szCs w:val="18"/>
              </w:rPr>
              <w:t>100</w:t>
            </w:r>
          </w:p>
        </w:tc>
        <w:tc>
          <w:tcPr>
            <w:tcW w:w="343" w:type="pct"/>
            <w:vAlign w:val="center"/>
          </w:tcPr>
          <w:p>
            <w:pPr>
              <w:snapToGrid w:val="0"/>
              <w:jc w:val="center"/>
              <w:rPr>
                <w:sz w:val="18"/>
                <w:szCs w:val="18"/>
              </w:rPr>
            </w:pPr>
            <w:r>
              <w:rPr>
                <w:sz w:val="18"/>
                <w:szCs w:val="18"/>
              </w:rPr>
              <w:t>100</w:t>
            </w:r>
          </w:p>
        </w:tc>
        <w:tc>
          <w:tcPr>
            <w:tcW w:w="344" w:type="pct"/>
            <w:vAlign w:val="center"/>
          </w:tcPr>
          <w:p>
            <w:pPr>
              <w:snapToGrid w:val="0"/>
              <w:jc w:val="center"/>
              <w:rPr>
                <w:sz w:val="18"/>
                <w:szCs w:val="18"/>
              </w:rPr>
            </w:pPr>
            <w:r>
              <w:rPr>
                <w:sz w:val="18"/>
                <w:szCs w:val="18"/>
              </w:rPr>
              <w:t>100</w:t>
            </w:r>
          </w:p>
        </w:tc>
        <w:tc>
          <w:tcPr>
            <w:tcW w:w="335" w:type="pct"/>
            <w:vAlign w:val="center"/>
          </w:tcPr>
          <w:p>
            <w:pPr>
              <w:snapToGrid w:val="0"/>
              <w:jc w:val="center"/>
              <w:rPr>
                <w:sz w:val="18"/>
                <w:szCs w:val="18"/>
              </w:rPr>
            </w:pPr>
            <w:r>
              <w:rPr>
                <w:sz w:val="18"/>
                <w:szCs w:val="18"/>
              </w:rPr>
              <w:t>100</w:t>
            </w:r>
          </w:p>
        </w:tc>
        <w:tc>
          <w:tcPr>
            <w:tcW w:w="388" w:type="pct"/>
            <w:vAlign w:val="center"/>
          </w:tcPr>
          <w:p>
            <w:pPr>
              <w:snapToGrid w:val="0"/>
              <w:jc w:val="center"/>
              <w:rPr>
                <w:sz w:val="18"/>
                <w:szCs w:val="18"/>
              </w:rPr>
            </w:pPr>
            <w:r>
              <w:rPr>
                <w:sz w:val="18"/>
                <w:szCs w:val="18"/>
              </w:rPr>
              <w:t>100</w:t>
            </w:r>
          </w:p>
        </w:tc>
        <w:tc>
          <w:tcPr>
            <w:tcW w:w="407" w:type="pct"/>
            <w:vAlign w:val="center"/>
          </w:tcPr>
          <w:p>
            <w:pPr>
              <w:snapToGrid w:val="0"/>
              <w:jc w:val="center"/>
              <w:rPr>
                <w:sz w:val="18"/>
                <w:szCs w:val="18"/>
              </w:rPr>
            </w:pPr>
            <w:r>
              <w:rPr>
                <w:sz w:val="18"/>
                <w:szCs w:val="18"/>
              </w:rPr>
              <w:t>100</w:t>
            </w:r>
          </w:p>
        </w:tc>
        <w:tc>
          <w:tcPr>
            <w:tcW w:w="339" w:type="pct"/>
            <w:vAlign w:val="center"/>
          </w:tcPr>
          <w:p>
            <w:pPr>
              <w:snapToGrid w:val="0"/>
              <w:jc w:val="center"/>
              <w:rPr>
                <w:sz w:val="18"/>
                <w:szCs w:val="18"/>
              </w:rPr>
            </w:pPr>
            <w:r>
              <w:rPr>
                <w:sz w:val="18"/>
                <w:szCs w:val="18"/>
              </w:rPr>
              <w:t>100</w:t>
            </w:r>
          </w:p>
        </w:tc>
        <w:tc>
          <w:tcPr>
            <w:tcW w:w="412" w:type="pct"/>
            <w:vAlign w:val="center"/>
          </w:tcPr>
          <w:p>
            <w:pPr>
              <w:snapToGrid w:val="0"/>
              <w:jc w:val="center"/>
              <w:rPr>
                <w:sz w:val="18"/>
                <w:szCs w:val="18"/>
              </w:rPr>
            </w:pPr>
            <w:r>
              <w:rPr>
                <w:sz w:val="18"/>
                <w:szCs w:val="18"/>
              </w:rPr>
              <w:t>100</w:t>
            </w:r>
          </w:p>
        </w:tc>
        <w:tc>
          <w:tcPr>
            <w:tcW w:w="323" w:type="pct"/>
            <w:vAlign w:val="center"/>
          </w:tcPr>
          <w:p>
            <w:pPr>
              <w:snapToGrid w:val="0"/>
              <w:jc w:val="center"/>
              <w:rPr>
                <w:sz w:val="18"/>
                <w:szCs w:val="18"/>
              </w:rPr>
            </w:pPr>
            <w:r>
              <w:rPr>
                <w:sz w:val="18"/>
                <w:szCs w:val="18"/>
              </w:rPr>
              <w:t>100</w:t>
            </w:r>
          </w:p>
        </w:tc>
        <w:tc>
          <w:tcPr>
            <w:tcW w:w="556" w:type="pct"/>
            <w:vAlign w:val="center"/>
          </w:tcPr>
          <w:p>
            <w:pPr>
              <w:snapToGrid w:val="0"/>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vAlign w:val="center"/>
          </w:tcPr>
          <w:p>
            <w:pPr>
              <w:snapToGrid w:val="0"/>
              <w:jc w:val="center"/>
              <w:rPr>
                <w:sz w:val="18"/>
                <w:szCs w:val="18"/>
              </w:rPr>
            </w:pPr>
            <w:r>
              <w:rPr>
                <w:sz w:val="18"/>
                <w:szCs w:val="18"/>
              </w:rPr>
              <w:t>标准值</w:t>
            </w:r>
          </w:p>
        </w:tc>
        <w:tc>
          <w:tcPr>
            <w:tcW w:w="439" w:type="pct"/>
            <w:vAlign w:val="center"/>
          </w:tcPr>
          <w:p>
            <w:pPr>
              <w:snapToGrid w:val="0"/>
              <w:jc w:val="center"/>
              <w:rPr>
                <w:sz w:val="18"/>
                <w:szCs w:val="18"/>
              </w:rPr>
            </w:pPr>
            <w:r>
              <w:rPr>
                <w:rFonts w:hint="eastAsia"/>
                <w:sz w:val="18"/>
                <w:szCs w:val="18"/>
              </w:rPr>
              <w:t>1.0</w:t>
            </w:r>
          </w:p>
        </w:tc>
        <w:tc>
          <w:tcPr>
            <w:tcW w:w="323" w:type="pct"/>
            <w:vAlign w:val="center"/>
          </w:tcPr>
          <w:p>
            <w:pPr>
              <w:snapToGrid w:val="0"/>
              <w:jc w:val="center"/>
              <w:rPr>
                <w:sz w:val="18"/>
                <w:szCs w:val="18"/>
              </w:rPr>
            </w:pPr>
            <w:r>
              <w:rPr>
                <w:rFonts w:hint="eastAsia"/>
                <w:sz w:val="18"/>
                <w:szCs w:val="18"/>
              </w:rPr>
              <w:t>0.005</w:t>
            </w:r>
          </w:p>
        </w:tc>
        <w:tc>
          <w:tcPr>
            <w:tcW w:w="343" w:type="pct"/>
            <w:vAlign w:val="center"/>
          </w:tcPr>
          <w:p>
            <w:pPr>
              <w:snapToGrid w:val="0"/>
              <w:jc w:val="center"/>
              <w:rPr>
                <w:sz w:val="18"/>
                <w:szCs w:val="18"/>
              </w:rPr>
            </w:pPr>
            <w:r>
              <w:rPr>
                <w:rFonts w:hint="eastAsia"/>
                <w:sz w:val="18"/>
                <w:szCs w:val="18"/>
              </w:rPr>
              <w:t>0.3</w:t>
            </w:r>
          </w:p>
        </w:tc>
        <w:tc>
          <w:tcPr>
            <w:tcW w:w="344" w:type="pct"/>
            <w:vAlign w:val="center"/>
          </w:tcPr>
          <w:p>
            <w:pPr>
              <w:snapToGrid w:val="0"/>
              <w:jc w:val="center"/>
              <w:rPr>
                <w:sz w:val="18"/>
                <w:szCs w:val="18"/>
              </w:rPr>
            </w:pPr>
            <w:r>
              <w:rPr>
                <w:rFonts w:hint="eastAsia"/>
                <w:sz w:val="18"/>
                <w:szCs w:val="18"/>
              </w:rPr>
              <w:t>0.1</w:t>
            </w:r>
          </w:p>
        </w:tc>
        <w:tc>
          <w:tcPr>
            <w:tcW w:w="335" w:type="pct"/>
            <w:vAlign w:val="center"/>
          </w:tcPr>
          <w:p>
            <w:pPr>
              <w:snapToGrid w:val="0"/>
              <w:jc w:val="center"/>
              <w:rPr>
                <w:sz w:val="18"/>
                <w:szCs w:val="18"/>
              </w:rPr>
            </w:pPr>
            <w:r>
              <w:rPr>
                <w:rFonts w:hint="eastAsia"/>
                <w:sz w:val="18"/>
                <w:szCs w:val="18"/>
              </w:rPr>
              <w:t>1000</w:t>
            </w:r>
          </w:p>
        </w:tc>
        <w:tc>
          <w:tcPr>
            <w:tcW w:w="388" w:type="pct"/>
            <w:vAlign w:val="center"/>
          </w:tcPr>
          <w:p>
            <w:pPr>
              <w:snapToGrid w:val="0"/>
              <w:jc w:val="center"/>
              <w:rPr>
                <w:sz w:val="18"/>
                <w:szCs w:val="18"/>
              </w:rPr>
            </w:pPr>
            <w:r>
              <w:rPr>
                <w:rFonts w:hint="eastAsia"/>
                <w:sz w:val="18"/>
                <w:szCs w:val="18"/>
              </w:rPr>
              <w:t>3.0</w:t>
            </w:r>
          </w:p>
        </w:tc>
        <w:tc>
          <w:tcPr>
            <w:tcW w:w="407" w:type="pct"/>
            <w:vAlign w:val="center"/>
          </w:tcPr>
          <w:p>
            <w:pPr>
              <w:snapToGrid w:val="0"/>
              <w:jc w:val="center"/>
              <w:rPr>
                <w:sz w:val="18"/>
                <w:szCs w:val="18"/>
              </w:rPr>
            </w:pPr>
            <w:r>
              <w:rPr>
                <w:rFonts w:hint="eastAsia"/>
                <w:sz w:val="18"/>
                <w:szCs w:val="18"/>
              </w:rPr>
              <w:t>250</w:t>
            </w:r>
          </w:p>
        </w:tc>
        <w:tc>
          <w:tcPr>
            <w:tcW w:w="339" w:type="pct"/>
            <w:vAlign w:val="center"/>
          </w:tcPr>
          <w:p>
            <w:pPr>
              <w:snapToGrid w:val="0"/>
              <w:jc w:val="center"/>
              <w:rPr>
                <w:sz w:val="18"/>
                <w:szCs w:val="18"/>
              </w:rPr>
            </w:pPr>
            <w:r>
              <w:rPr>
                <w:rFonts w:hint="eastAsia"/>
                <w:sz w:val="18"/>
                <w:szCs w:val="18"/>
              </w:rPr>
              <w:t>250</w:t>
            </w:r>
          </w:p>
        </w:tc>
        <w:tc>
          <w:tcPr>
            <w:tcW w:w="412" w:type="pct"/>
            <w:vAlign w:val="center"/>
          </w:tcPr>
          <w:p>
            <w:pPr>
              <w:snapToGrid w:val="0"/>
              <w:jc w:val="center"/>
              <w:rPr>
                <w:sz w:val="18"/>
                <w:szCs w:val="18"/>
              </w:rPr>
            </w:pPr>
            <w:r>
              <w:rPr>
                <w:rFonts w:hint="eastAsia"/>
                <w:sz w:val="18"/>
                <w:szCs w:val="18"/>
              </w:rPr>
              <w:t>3.0</w:t>
            </w:r>
          </w:p>
        </w:tc>
        <w:tc>
          <w:tcPr>
            <w:tcW w:w="323" w:type="pct"/>
            <w:vAlign w:val="center"/>
          </w:tcPr>
          <w:p>
            <w:pPr>
              <w:snapToGrid w:val="0"/>
              <w:jc w:val="center"/>
              <w:rPr>
                <w:sz w:val="18"/>
                <w:szCs w:val="18"/>
              </w:rPr>
            </w:pPr>
            <w:r>
              <w:rPr>
                <w:rFonts w:hint="eastAsia"/>
                <w:sz w:val="18"/>
                <w:szCs w:val="18"/>
              </w:rPr>
              <w:t>100</w:t>
            </w:r>
          </w:p>
        </w:tc>
        <w:tc>
          <w:tcPr>
            <w:tcW w:w="556" w:type="pct"/>
            <w:vAlign w:val="center"/>
          </w:tcPr>
          <w:p>
            <w:pPr>
              <w:snapToGrid w:val="0"/>
              <w:jc w:val="center"/>
              <w:rPr>
                <w:sz w:val="18"/>
                <w:szCs w:val="18"/>
              </w:rPr>
            </w:pPr>
            <w:r>
              <w:rPr>
                <w:rFonts w:hint="eastAsia"/>
                <w:sz w:val="18"/>
                <w:szCs w:val="18"/>
              </w:rPr>
              <w:t>-</w:t>
            </w:r>
          </w:p>
        </w:tc>
      </w:tr>
    </w:tbl>
    <w:p>
      <w:pPr>
        <w:pStyle w:val="13"/>
        <w:spacing w:before="240"/>
        <w:ind w:firstLine="0"/>
        <w:rPr>
          <w:b/>
          <w:color w:val="000000"/>
        </w:rPr>
      </w:pPr>
    </w:p>
    <w:p>
      <w:pPr>
        <w:snapToGrid w:val="0"/>
        <w:spacing w:line="480" w:lineRule="exact"/>
        <w:ind w:firstLine="482" w:firstLineChars="200"/>
        <w:jc w:val="center"/>
        <w:rPr>
          <w:b/>
          <w:color w:val="000000"/>
          <w:sz w:val="24"/>
        </w:rPr>
        <w:sectPr>
          <w:headerReference r:id="rId9" w:type="default"/>
          <w:footerReference r:id="rId10" w:type="default"/>
          <w:pgSz w:w="16838" w:h="11906" w:orient="landscape"/>
          <w:pgMar w:top="1418" w:right="1440" w:bottom="1418" w:left="1440" w:header="851" w:footer="992" w:gutter="0"/>
          <w:cols w:space="720" w:num="1"/>
          <w:docGrid w:type="lines" w:linePitch="312" w:charSpace="0"/>
        </w:sectPr>
      </w:pPr>
    </w:p>
    <w:p>
      <w:pPr>
        <w:adjustRightInd w:val="0"/>
        <w:snapToGrid w:val="0"/>
        <w:spacing w:line="480" w:lineRule="exact"/>
        <w:ind w:firstLine="480" w:firstLineChars="200"/>
        <w:rPr>
          <w:color w:val="000000"/>
          <w:sz w:val="24"/>
        </w:rPr>
      </w:pPr>
    </w:p>
    <w:p>
      <w:pPr>
        <w:adjustRightInd w:val="0"/>
        <w:snapToGrid w:val="0"/>
        <w:spacing w:line="480" w:lineRule="exact"/>
        <w:ind w:firstLine="480" w:firstLineChars="200"/>
        <w:rPr>
          <w:color w:val="000000"/>
          <w:sz w:val="24"/>
        </w:rPr>
      </w:pPr>
      <w:r>
        <w:rPr>
          <w:color w:val="000000"/>
          <w:sz w:val="24"/>
        </w:rPr>
        <w:t>根据评价结果可见，在</w:t>
      </w:r>
      <w:r>
        <w:rPr>
          <w:rFonts w:hint="eastAsia"/>
          <w:color w:val="000000"/>
          <w:sz w:val="24"/>
        </w:rPr>
        <w:t>上述3</w:t>
      </w:r>
      <w:r>
        <w:rPr>
          <w:color w:val="000000"/>
          <w:sz w:val="24"/>
        </w:rPr>
        <w:t>个</w:t>
      </w:r>
      <w:r>
        <w:rPr>
          <w:rFonts w:hint="eastAsia"/>
          <w:bCs/>
          <w:color w:val="000000"/>
          <w:spacing w:val="4"/>
          <w:sz w:val="24"/>
        </w:rPr>
        <w:t>监测点位监测项目中，</w:t>
      </w:r>
      <w:r>
        <w:rPr>
          <w:rFonts w:hint="eastAsia"/>
          <w:color w:val="000000"/>
          <w:kern w:val="0"/>
          <w:sz w:val="24"/>
        </w:rPr>
        <w:t>指标</w:t>
      </w:r>
      <w:r>
        <w:rPr>
          <w:color w:val="000000"/>
          <w:kern w:val="0"/>
          <w:sz w:val="24"/>
        </w:rPr>
        <w:t>均达到《地下水质量标准》（GB14848-93）</w:t>
      </w:r>
      <w:r>
        <w:rPr>
          <w:rFonts w:hint="eastAsia"/>
          <w:color w:val="000000"/>
          <w:kern w:val="0"/>
          <w:sz w:val="24"/>
        </w:rPr>
        <w:t>Ⅲ</w:t>
      </w:r>
      <w:r>
        <w:rPr>
          <w:color w:val="000000"/>
          <w:kern w:val="0"/>
          <w:sz w:val="24"/>
        </w:rPr>
        <w:t>类水质标准。</w:t>
      </w:r>
    </w:p>
    <w:p>
      <w:pPr>
        <w:tabs>
          <w:tab w:val="left" w:pos="2660"/>
        </w:tabs>
        <w:snapToGrid w:val="0"/>
        <w:spacing w:line="480" w:lineRule="exact"/>
        <w:outlineLvl w:val="2"/>
        <w:rPr>
          <w:rFonts w:eastAsia="黑体"/>
          <w:bCs/>
          <w:color w:val="000000"/>
          <w:sz w:val="28"/>
          <w:szCs w:val="28"/>
        </w:rPr>
      </w:pPr>
      <w:r>
        <w:rPr>
          <w:rFonts w:hint="eastAsia" w:eastAsia="黑体"/>
          <w:bCs/>
          <w:color w:val="000000"/>
          <w:sz w:val="28"/>
          <w:szCs w:val="28"/>
        </w:rPr>
        <w:t>1.3</w:t>
      </w:r>
      <w:r>
        <w:rPr>
          <w:rFonts w:eastAsia="黑体"/>
          <w:bCs/>
          <w:color w:val="000000"/>
          <w:sz w:val="28"/>
          <w:szCs w:val="28"/>
        </w:rPr>
        <w:t>地下水</w:t>
      </w:r>
      <w:r>
        <w:rPr>
          <w:rFonts w:hint="eastAsia" w:eastAsia="黑体"/>
          <w:bCs/>
          <w:color w:val="000000"/>
          <w:sz w:val="28"/>
          <w:szCs w:val="28"/>
        </w:rPr>
        <w:t>环境影响分析与评价</w:t>
      </w:r>
    </w:p>
    <w:p>
      <w:pPr>
        <w:spacing w:line="480" w:lineRule="exact"/>
        <w:outlineLvl w:val="3"/>
        <w:rPr>
          <w:rFonts w:eastAsia="黑体"/>
          <w:color w:val="000000"/>
          <w:sz w:val="24"/>
          <w:szCs w:val="21"/>
        </w:rPr>
      </w:pPr>
      <w:r>
        <w:rPr>
          <w:rFonts w:hint="eastAsia" w:eastAsia="黑体"/>
          <w:color w:val="000000"/>
          <w:sz w:val="24"/>
          <w:szCs w:val="21"/>
        </w:rPr>
        <w:t>1.3</w:t>
      </w:r>
      <w:r>
        <w:rPr>
          <w:rFonts w:eastAsia="黑体"/>
          <w:color w:val="000000"/>
          <w:sz w:val="24"/>
          <w:szCs w:val="21"/>
        </w:rPr>
        <w:t>.1</w:t>
      </w:r>
      <w:r>
        <w:rPr>
          <w:rFonts w:hint="eastAsia" w:eastAsia="黑体"/>
          <w:color w:val="000000"/>
          <w:sz w:val="24"/>
          <w:szCs w:val="21"/>
        </w:rPr>
        <w:t>区域地质与水文地质条件</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①汾河流域</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东寨以北地层属寒武奥陶纪，仅在大小石洞与汾河间夹有一小块太古代地层。寒武奥陶纪岩层以石灰岩为主，石灰岩下部常夹有粘板岩层，极小地区的下部略见沙岩。太古代岩层中以花岗岩、片麻岩为主，夹有伟晶花岗岩及石英岩，顶端有结晶片岩。东寨以南，有一条起于东北石嘴头，止于西南静乐县境内的石炭二迭纪地层，其余则为三迭二迭纪地层。圪廖沟掌以上沿分水岭向南，有一块侏罗纪地层。芦芽山一带有一条太古代岩层。石炭二迭纪岩层中以沙岩、页岩为主，多呈互层。一般沙岩岩层较厚，页岩较薄。侏罗纪岩层中以红色沙岩为主，常夹有薄层页岩，有时夹有不厚的煤层，多形成不透水层。因此在本区东庄乡一带，形成高山湖泊。</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区境内地下水的主要补给来源为地面降水。东寨以西各沟道中，石灰岩堆积物较多，森林茂密，降水部一部分变为地表水径流泄走外，其余大部分从岩石缝隙中渗入地下，形成地下水。有的成为泉水出露，汾源即属此类。汾源以上及其附近地下水埋藏很深，水量甚微。如春景洼乡麻地沟村，人畜饮用冰雪雨水。1978年县钻井队打井探测，进深102米，应水量小而报废。1979年又在东寨镇寺耳沟大队钻探，进深195米，提出水量够人畜饮用。综观汾河干流、洪河干流两岸及其较大支流，为地下水富集地带，其余为贫乏地带。根据大气降水渗入法计算，其入渗量每年为1.3亿立方米。</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②恢河流域</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从分水岭到阳方口左侧绝大部分为三迭二迭纪地层。从小木场到岭沟附近，属石灰二迭纪，其余大部分为侏罗纪。石炭二迭纪岩层中以石灰岩和页岩为主，石灰岩多为薄层状，与页岩间往往夹有煤层或其他矿物。侏罗纪岩层中以红色沙岩为主，并夹有薄层页岩，间或夹有不厚的煤层。此种地层往往是较好的不透水层。该区域绝大部分降水变为地表径流，入渗很少，每年渗入量为2.8万立方米。</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③含水层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1）第四系松散岩类孔隙含水层组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松散岩类含水层岩性主要为第四系残坡积物及亚砂土，广泛分布于井田内大部分沟谷、坡梁之上，地下水赋存于砂砾石孔隙中，主要接受大气降水和地表水入渗补给，一般雨季含水，平时含水极弱，径流条件好、富水性弱、径流途径短，排泄于河谷中，部分消耗于人工开发。由于地下水埋藏浅，该含水层在本区不发育。</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2）二叠系碎屑岩类裂隙含水层组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主要岩性为含砾粗砂岩、中粗、中细粒砂岩，为主要含水层，因含水层夹在泥岩、砂质泥岩等隔水层中，补给条件差，只靠裂隙、大气降水和第四系松散层潜水的渗透补给，故含水性弱。</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(1) 山西组碎屑岩裂隙含水层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组含水层为2号煤层的主要充水水源，根据井田南大运华盛石湖南沟井田水文孔抽水试验及水质化验成果，单位涌水量0.019L/s·m，渗透系数0.034m/d，水质类型为HCO3·SO4-Ca·Mg型，矿化度0.6924g/L，PH值8.05。富水性弱，属弱含水岩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(2) 下石盒子组碎屑岩裂隙含水层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下石盒子组地层在本区发育不完整，其下段上部地层因风化剥蚀而缺失，在井田中南部较多出露，可接受部分大气降水补给，同时还接受第四系松散层潜水的渗透补给，富水性弱。</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3）石炭系碎屑岩类夹碳酸盐岩含水层组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含水层组由石炭系中统本溪组和上统太原组砂岩及薄层灰岩组成，与页岩、砂质页岩隔水层相间沉积，构成多层承压含水层组。含水层厚度薄，出露面积小，补给条件差，主要接受大气降水补给，局部接受地表水补给。无构造沟通时，各含水层无水力联系，根据井田南大运华盛石湖南沟井田水文孔抽水试验及水质化验成果，单位涌水量0.019L/s·m，渗透系数0.034m/d，水质类型为HCO3·SO4-Ca·Mg型，矿化度0.6924g/L，PH值8.05。富水性弱，属弱含水岩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4）碳酸盐岩类岩溶裂隙含水岩组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本组由奥陶系中统上马家沟组的石灰岩、白云质灰岩、角砾状、豹皮状灰岩、泥质灰岩等组成。井田西北部、北部出露。地下水位大都在区域侵蚀基准面之下，属深埋强富水区。</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本项目属下石盒子组碎屑岩裂隙含水层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④隔水层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1）本溪组隔水层：主要为泥岩、砂质泥岩、铝土岩、铁铝岩，是奥陶系岩溶水与上覆煤层之间良好的隔水层。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2）石炭～二叠系隔水层：主要为泥岩、砂质泥岩、粉砂质泥岩，致密，不透水，构造裂隙不发育，构成各含水层间良好的隔水层。</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⑤地下水的补给，径流和排泄条件</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奥陶系中统的石灰岩在井田北部出露，岩溶发育，直接受降水补给，同时也受河水和冲积层潜水补给，富水性强。一般由补给区向北西方向运移，受神头泉泉域控制，最终汇入桑干河流域一带，以泉水形式排泄。</w:t>
      </w:r>
    </w:p>
    <w:p>
      <w:pPr>
        <w:snapToGrid w:val="0"/>
        <w:spacing w:line="480" w:lineRule="exact"/>
        <w:ind w:firstLine="430"/>
        <w:jc w:val="left"/>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碎屑岩类裂隙水的补给主要来自于大气降水，垂直入渗为主，一般沿地层倾斜方向运移，部分在径流过程中，沿切割较深的沟谷处以泉的形式排泄。</w:t>
      </w:r>
    </w:p>
    <w:p>
      <w:pPr>
        <w:spacing w:line="480" w:lineRule="exact"/>
        <w:outlineLvl w:val="3"/>
        <w:rPr>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松散岩类孔隙含水层的地下水，由大气降水直接补给，径流方向与地表水的径流方向一致，主要以垂直入渗为主，下渗补给碎屑岩裂隙岩组地层。</w:t>
      </w:r>
    </w:p>
    <w:p>
      <w:pPr>
        <w:rPr>
          <w:rStyle w:val="38"/>
          <w:kern w:val="0"/>
        </w:rPr>
        <w:sectPr>
          <w:headerReference r:id="rId11" w:type="default"/>
          <w:footerReference r:id="rId12" w:type="default"/>
          <w:pgSz w:w="11906" w:h="16838"/>
          <w:pgMar w:top="1440" w:right="1418" w:bottom="1440" w:left="1418" w:header="851" w:footer="992" w:gutter="0"/>
          <w:cols w:space="720" w:num="1"/>
          <w:docGrid w:type="lines" w:linePitch="312" w:charSpace="0"/>
        </w:sectPr>
      </w:pPr>
      <w:r>
        <w:rPr>
          <w:rFonts w:hint="eastAsia"/>
          <w:color w:val="000000" w:themeColor="text1"/>
          <w:spacing w:val="-2"/>
          <w:sz w:val="24"/>
          <w14:textFill>
            <w14:solidFill>
              <w14:schemeClr w14:val="tx1"/>
            </w14:solidFill>
          </w14:textFill>
        </w:rPr>
        <w:br w:type="page"/>
      </w:r>
      <w:r>
        <mc:AlternateContent>
          <mc:Choice Requires="wps">
            <w:drawing>
              <wp:anchor distT="0" distB="0" distL="114300" distR="114300" simplePos="0" relativeHeight="251700224" behindDoc="0" locked="0" layoutInCell="1" allowOverlap="1">
                <wp:simplePos x="0" y="0"/>
                <wp:positionH relativeFrom="column">
                  <wp:posOffset>1708150</wp:posOffset>
                </wp:positionH>
                <wp:positionV relativeFrom="paragraph">
                  <wp:posOffset>8099425</wp:posOffset>
                </wp:positionV>
                <wp:extent cx="2314575" cy="476250"/>
                <wp:effectExtent l="0" t="0" r="9525" b="0"/>
                <wp:wrapNone/>
                <wp:docPr id="174" name="矩形 174"/>
                <wp:cNvGraphicFramePr/>
                <a:graphic xmlns:a="http://schemas.openxmlformats.org/drawingml/2006/main">
                  <a:graphicData uri="http://schemas.microsoft.com/office/word/2010/wordprocessingShape">
                    <wps:wsp>
                      <wps:cNvSpPr/>
                      <wps:spPr>
                        <a:xfrm>
                          <a:off x="2856230" y="8947150"/>
                          <a:ext cx="23145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附图1-2地形及水文地质图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4.5pt;margin-top:637.75pt;height:37.5pt;width:182.25pt;z-index:251700224;v-text-anchor:middle;mso-width-relative:page;mso-height-relative:page;" filled="f" stroked="f" coordsize="21600,21600" o:gfxdata="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5nmor2wAAAA0BAAAPAAAAAAAAAAEAIAAAACIAAABkcnMvZG93bnJldi54bWxQSwECFAAU&#10;AAAACACHTuJAnRd/GWACAACmBAAADgAAAAAAAAABACAAAAAqAQAAZHJzL2Uyb0RvYy54bWxQSwUG&#10;AAAAAAYABgBZAQAA/AUAAAAA&#10;">
                <v:fill on="f" focussize="0,0"/>
                <v:stroke on="f" weight="2pt"/>
                <v:imagedata o:title=""/>
                <o:lock v:ext="edit" aspectratio="f"/>
                <v:textbox>
                  <w:txbxContent>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附图1-2地形及水文地质图</w:t>
                      </w:r>
                    </w:p>
                  </w:txbxContent>
                </v:textbox>
              </v:rect>
            </w:pict>
          </mc:Fallback>
        </mc:AlternateContent>
      </w:r>
    </w:p>
    <w:p>
      <w:pPr>
        <w:pStyle w:val="2"/>
      </w:pPr>
    </w:p>
    <w:p>
      <w:pPr>
        <w:pStyle w:val="2"/>
        <w:sectPr>
          <w:pgSz w:w="16838" w:h="11906" w:orient="landscape"/>
          <w:pgMar w:top="1418" w:right="1440" w:bottom="1418" w:left="1440" w:header="851" w:footer="992" w:gutter="0"/>
          <w:cols w:space="720" w:num="1"/>
          <w:docGrid w:type="lines" w:linePitch="312" w:charSpace="0"/>
        </w:sectPr>
      </w:pPr>
      <w:r>
        <w:rPr>
          <w:sz w:val="24"/>
        </w:rPr>
        <mc:AlternateContent>
          <mc:Choice Requires="wps">
            <w:drawing>
              <wp:anchor distT="0" distB="0" distL="114300" distR="114300" simplePos="0" relativeHeight="251701248" behindDoc="0" locked="0" layoutInCell="1" allowOverlap="1">
                <wp:simplePos x="0" y="0"/>
                <wp:positionH relativeFrom="column">
                  <wp:posOffset>2509520</wp:posOffset>
                </wp:positionH>
                <wp:positionV relativeFrom="paragraph">
                  <wp:posOffset>4931410</wp:posOffset>
                </wp:positionV>
                <wp:extent cx="2253615" cy="310515"/>
                <wp:effectExtent l="0" t="0" r="13335" b="13335"/>
                <wp:wrapNone/>
                <wp:docPr id="179" name="矩形 179"/>
                <wp:cNvGraphicFramePr/>
                <a:graphic xmlns:a="http://schemas.openxmlformats.org/drawingml/2006/main">
                  <a:graphicData uri="http://schemas.microsoft.com/office/word/2010/wordprocessingShape">
                    <wps:wsp>
                      <wps:cNvSpPr/>
                      <wps:spPr>
                        <a:xfrm>
                          <a:off x="3423920" y="5831840"/>
                          <a:ext cx="2253615" cy="310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1-3区域水文综合地质图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6pt;margin-top:388.3pt;height:24.45pt;width:177.45pt;z-index:251701248;v-text-anchor:middle;mso-width-relative:page;mso-height-relative:page;" fillcolor="#FFFFFF [3212]" filled="t" stroked="f" coordsize="21600,21600" o:gfxdata="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8kCTjXAAAACwEAAA8AAAAAAAAAAQAgAAAAIgAAAGRycy9kb3du&#10;cmV2LnhtbFBLAQIUABQAAAAIAIdO4kB629zZcgIAAM8EAAAOAAAAAAAAAAEAIAAAACYBAABkcnMv&#10;ZTJvRG9jLnhtbFBLBQYAAAAABgAGAFkBAAAKBgAAAAA=&#10;">
                <v:fill on="t" focussize="0,0"/>
                <v:stroke on="f" weight="2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1-3区域水文综合地质图</w:t>
                      </w:r>
                    </w:p>
                  </w:txbxContent>
                </v:textbox>
              </v:rect>
            </w:pict>
          </mc:Fallback>
        </mc:AlternateContent>
      </w:r>
    </w:p>
    <w:p>
      <w:pPr>
        <w:pStyle w:val="3"/>
      </w:pPr>
    </w:p>
    <w:p>
      <w:pPr>
        <w:spacing w:line="480" w:lineRule="exact"/>
        <w:outlineLvl w:val="3"/>
        <w:rPr>
          <w:rFonts w:eastAsia="黑体"/>
          <w:color w:val="000000"/>
          <w:sz w:val="24"/>
          <w:szCs w:val="21"/>
        </w:rPr>
      </w:pPr>
      <w:r>
        <w:rPr>
          <w:rFonts w:hint="eastAsia" w:eastAsia="黑体"/>
          <w:color w:val="000000"/>
          <w:sz w:val="24"/>
          <w:szCs w:val="21"/>
        </w:rPr>
        <w:t>1.3</w:t>
      </w:r>
      <w:r>
        <w:rPr>
          <w:rFonts w:eastAsia="黑体"/>
          <w:color w:val="000000"/>
          <w:sz w:val="24"/>
          <w:szCs w:val="21"/>
        </w:rPr>
        <w:t>.</w:t>
      </w:r>
      <w:r>
        <w:rPr>
          <w:rFonts w:hint="eastAsia" w:eastAsia="黑体"/>
          <w:color w:val="000000"/>
          <w:sz w:val="24"/>
          <w:szCs w:val="21"/>
        </w:rPr>
        <w:t>2</w:t>
      </w:r>
      <w:r>
        <w:rPr>
          <w:rFonts w:hint="eastAsia" w:eastAsia="黑体"/>
          <w:color w:val="000000"/>
          <w:sz w:val="24"/>
          <w:szCs w:val="21"/>
          <w:lang w:eastAsia="zh-CN"/>
        </w:rPr>
        <w:t>地下水环境影响分析</w:t>
      </w:r>
    </w:p>
    <w:p>
      <w:pPr>
        <w:numPr>
          <w:ilvl w:val="0"/>
          <w:numId w:val="5"/>
        </w:numPr>
        <w:spacing w:line="480" w:lineRule="exact"/>
        <w:ind w:firstLine="480" w:firstLineChars="200"/>
        <w:rPr>
          <w:rFonts w:hint="eastAsia" w:hAnsi="宋体"/>
          <w:color w:val="000000"/>
          <w:sz w:val="24"/>
          <w:lang w:val="en-US" w:eastAsia="zh-CN"/>
        </w:rPr>
      </w:pPr>
      <w:r>
        <w:rPr>
          <w:rFonts w:hint="eastAsia" w:hAnsi="宋体"/>
          <w:color w:val="000000"/>
          <w:sz w:val="24"/>
          <w:lang w:val="en-US" w:eastAsia="zh-CN"/>
        </w:rPr>
        <w:t>影响途径</w:t>
      </w:r>
    </w:p>
    <w:p>
      <w:pPr>
        <w:spacing w:line="480" w:lineRule="exact"/>
        <w:ind w:firstLine="480" w:firstLineChars="200"/>
        <w:rPr>
          <w:rFonts w:hint="eastAsia"/>
          <w:color w:val="000000"/>
          <w:sz w:val="24"/>
          <w:szCs w:val="20"/>
          <w:lang w:val="en-US" w:eastAsia="zh-CN"/>
        </w:rPr>
      </w:pPr>
      <w:r>
        <w:rPr>
          <w:rFonts w:hint="eastAsia"/>
          <w:color w:val="000000"/>
          <w:sz w:val="24"/>
          <w:szCs w:val="20"/>
          <w:lang w:val="en-US" w:eastAsia="zh-CN"/>
        </w:rPr>
        <w:t>本项目可能对地下水造成影响的方式主要为污染物通过渗透方式进入水环境。</w:t>
      </w:r>
    </w:p>
    <w:p>
      <w:pPr>
        <w:spacing w:line="480" w:lineRule="exact"/>
        <w:ind w:firstLine="480" w:firstLineChars="200"/>
        <w:rPr>
          <w:rFonts w:hint="eastAsia" w:hAnsi="宋体"/>
          <w:color w:val="000000"/>
          <w:sz w:val="24"/>
          <w:lang w:val="en-US" w:eastAsia="zh-CN"/>
        </w:rPr>
      </w:pPr>
      <w:r>
        <w:rPr>
          <w:rFonts w:hint="eastAsia" w:hAnsi="宋体"/>
          <w:color w:val="000000"/>
          <w:sz w:val="24"/>
          <w:lang w:val="en-US" w:eastAsia="zh-CN"/>
        </w:rPr>
        <w:t>本</w:t>
      </w:r>
      <w:r>
        <w:rPr>
          <w:rFonts w:hint="eastAsia"/>
          <w:color w:val="000000"/>
          <w:sz w:val="24"/>
          <w:szCs w:val="20"/>
          <w:lang w:val="en-US" w:eastAsia="zh-CN"/>
        </w:rPr>
        <w:t>项目</w:t>
      </w:r>
      <w:r>
        <w:rPr>
          <w:rFonts w:hint="eastAsia" w:hAnsi="宋体"/>
          <w:color w:val="000000"/>
          <w:sz w:val="24"/>
          <w:lang w:val="en-US" w:eastAsia="zh-CN"/>
        </w:rPr>
        <w:t>主要为型煤生产及转运，运行过程中无工艺废水产生。本项目建设对地下水造成污染影响主要为：洗车平台废水下渗对地下水的影响；厂内雨水收集池对地下水水质的影响；对地下水影响均较小，要求本项目采取如下措施减少对地下水的影响。</w:t>
      </w:r>
    </w:p>
    <w:p>
      <w:pPr>
        <w:numPr>
          <w:ilvl w:val="0"/>
          <w:numId w:val="5"/>
        </w:numPr>
        <w:spacing w:line="480" w:lineRule="exact"/>
        <w:ind w:firstLine="480" w:firstLineChars="200"/>
        <w:rPr>
          <w:rFonts w:hint="default" w:hAnsi="宋体"/>
          <w:color w:val="000000"/>
          <w:sz w:val="24"/>
          <w:lang w:val="en-US" w:eastAsia="zh-CN"/>
        </w:rPr>
      </w:pPr>
      <w:r>
        <w:rPr>
          <w:rFonts w:hint="eastAsia" w:hAnsi="宋体"/>
          <w:color w:val="000000"/>
          <w:sz w:val="24"/>
          <w:lang w:val="en-US" w:eastAsia="zh-CN"/>
        </w:rPr>
        <w:t>环保措施</w:t>
      </w:r>
    </w:p>
    <w:p>
      <w:pPr>
        <w:spacing w:line="480" w:lineRule="exact"/>
        <w:ind w:firstLine="480" w:firstLineChars="200"/>
        <w:rPr>
          <w:rFonts w:hint="default" w:hAnsi="宋体"/>
          <w:color w:val="000000"/>
          <w:sz w:val="24"/>
          <w:lang w:val="en-US" w:eastAsia="zh-CN"/>
        </w:rPr>
      </w:pPr>
      <w:r>
        <w:rPr>
          <w:rFonts w:hint="eastAsia" w:hAnsi="宋体"/>
          <w:color w:val="000000"/>
          <w:sz w:val="24"/>
          <w:lang w:val="en-US" w:eastAsia="zh-CN"/>
        </w:rPr>
        <w:t>对生产车间及洗车平台、雨水收集池进行去那面防渗、防雨处理；对固废不得随意堆存或排放，对废水收集系统及处理系统定期检查，发现泄漏及时维修，杜绝污水下渗污染地下水；合理绿化，利用植被提高非硬化地面的渗水能力；通过以上要求，并按照相关规范进行施工、管理，确保防渗效果的前提下，本项目污水不会渗入区域地下水，不会对地下水环境造成污染。</w:t>
      </w:r>
    </w:p>
    <w:p>
      <w:pPr>
        <w:spacing w:line="480" w:lineRule="exact"/>
        <w:outlineLvl w:val="3"/>
        <w:rPr>
          <w:rFonts w:eastAsia="黑体"/>
          <w:color w:val="000000"/>
          <w:sz w:val="24"/>
          <w:szCs w:val="21"/>
        </w:rPr>
      </w:pPr>
      <w:r>
        <w:rPr>
          <w:rFonts w:hint="eastAsia" w:eastAsia="黑体"/>
          <w:color w:val="000000"/>
          <w:sz w:val="24"/>
          <w:szCs w:val="21"/>
        </w:rPr>
        <w:t>1.3</w:t>
      </w:r>
      <w:r>
        <w:rPr>
          <w:rFonts w:eastAsia="黑体"/>
          <w:color w:val="000000"/>
          <w:sz w:val="24"/>
          <w:szCs w:val="21"/>
        </w:rPr>
        <w:t>.</w:t>
      </w:r>
      <w:r>
        <w:rPr>
          <w:rFonts w:hint="eastAsia" w:eastAsia="黑体"/>
          <w:color w:val="000000"/>
          <w:sz w:val="24"/>
          <w:szCs w:val="21"/>
        </w:rPr>
        <w:t>3厂区防渗措施</w:t>
      </w:r>
    </w:p>
    <w:p>
      <w:pPr>
        <w:spacing w:line="480" w:lineRule="exact"/>
        <w:ind w:firstLine="480" w:firstLineChars="200"/>
        <w:rPr>
          <w:color w:val="000000"/>
          <w:sz w:val="24"/>
          <w:szCs w:val="20"/>
        </w:rPr>
      </w:pPr>
      <w:r>
        <w:rPr>
          <w:rFonts w:hint="eastAsia"/>
          <w:color w:val="000000"/>
          <w:sz w:val="24"/>
          <w:szCs w:val="20"/>
        </w:rPr>
        <w:t>针对可能对地下水造成影响的各环节，按照</w:t>
      </w:r>
      <w:r>
        <w:rPr>
          <w:color w:val="000000"/>
          <w:sz w:val="24"/>
          <w:szCs w:val="20"/>
        </w:rPr>
        <w:t>―</w:t>
      </w:r>
      <w:r>
        <w:rPr>
          <w:rFonts w:hint="eastAsia"/>
          <w:color w:val="000000"/>
          <w:sz w:val="24"/>
          <w:szCs w:val="20"/>
        </w:rPr>
        <w:t>考虑重点，辐射全面的防渗原则，一般区域采用水泥硬化地面。全厂防渗等防止地下水污染预防措施见表</w:t>
      </w:r>
      <w:r>
        <w:rPr>
          <w:rFonts w:hint="eastAsia"/>
          <w:color w:val="000000"/>
          <w:sz w:val="24"/>
          <w:szCs w:val="20"/>
          <w:lang w:val="en-US" w:eastAsia="zh-CN"/>
        </w:rPr>
        <w:t>1-9</w:t>
      </w:r>
      <w:r>
        <w:rPr>
          <w:rFonts w:hint="eastAsia"/>
          <w:color w:val="000000"/>
          <w:sz w:val="24"/>
          <w:szCs w:val="20"/>
        </w:rPr>
        <w:t>。</w:t>
      </w:r>
    </w:p>
    <w:p>
      <w:pPr>
        <w:spacing w:line="480" w:lineRule="exact"/>
        <w:ind w:firstLine="480" w:firstLineChars="200"/>
        <w:rPr>
          <w:color w:val="000000"/>
          <w:sz w:val="24"/>
          <w:szCs w:val="20"/>
        </w:rPr>
      </w:pPr>
      <w:r>
        <w:rPr>
          <w:rFonts w:hint="eastAsia"/>
          <w:color w:val="000000"/>
          <w:sz w:val="24"/>
          <w:szCs w:val="20"/>
        </w:rPr>
        <w:t>（一）地面的防渗措施</w:t>
      </w:r>
    </w:p>
    <w:p>
      <w:pPr>
        <w:spacing w:line="480" w:lineRule="exact"/>
        <w:ind w:firstLine="480" w:firstLineChars="200"/>
        <w:rPr>
          <w:color w:val="000000"/>
          <w:sz w:val="24"/>
          <w:szCs w:val="20"/>
        </w:rPr>
      </w:pPr>
      <w:r>
        <w:rPr>
          <w:rFonts w:hint="eastAsia"/>
          <w:color w:val="000000"/>
          <w:sz w:val="24"/>
          <w:szCs w:val="20"/>
        </w:rPr>
        <w:t>1、综合厂房应采用混凝土结构防渗。</w:t>
      </w:r>
    </w:p>
    <w:p>
      <w:pPr>
        <w:spacing w:line="480" w:lineRule="exact"/>
        <w:ind w:firstLine="482" w:firstLineChars="200"/>
        <w:jc w:val="center"/>
        <w:rPr>
          <w:b/>
          <w:color w:val="000000"/>
          <w:sz w:val="24"/>
          <w:szCs w:val="20"/>
        </w:rPr>
      </w:pPr>
      <w:r>
        <w:rPr>
          <w:rFonts w:hint="eastAsia"/>
          <w:b/>
          <w:color w:val="000000"/>
          <w:sz w:val="24"/>
          <w:szCs w:val="20"/>
        </w:rPr>
        <w:t>表1-</w:t>
      </w:r>
      <w:r>
        <w:rPr>
          <w:rFonts w:hint="eastAsia"/>
          <w:b/>
          <w:color w:val="000000"/>
          <w:sz w:val="24"/>
          <w:szCs w:val="20"/>
          <w:lang w:val="en-US" w:eastAsia="zh-CN"/>
        </w:rPr>
        <w:t>9</w:t>
      </w:r>
      <w:r>
        <w:rPr>
          <w:rFonts w:hint="eastAsia"/>
          <w:b/>
          <w:color w:val="000000"/>
          <w:sz w:val="24"/>
          <w:szCs w:val="20"/>
        </w:rPr>
        <w:t xml:space="preserve"> 产区防渗分区措施表</w:t>
      </w:r>
    </w:p>
    <w:tbl>
      <w:tblPr>
        <w:tblStyle w:val="32"/>
        <w:tblW w:w="0" w:type="auto"/>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2410"/>
        <w:gridCol w:w="4783"/>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PrEx>
        <w:tc>
          <w:tcPr>
            <w:tcW w:w="2093" w:type="dxa"/>
            <w:vAlign w:val="center"/>
          </w:tcPr>
          <w:p>
            <w:pPr>
              <w:jc w:val="center"/>
              <w:rPr>
                <w:color w:val="000000"/>
                <w:szCs w:val="21"/>
              </w:rPr>
            </w:pPr>
            <w:r>
              <w:rPr>
                <w:rFonts w:hint="eastAsia"/>
                <w:color w:val="000000"/>
                <w:szCs w:val="21"/>
              </w:rPr>
              <w:t>项目</w:t>
            </w:r>
          </w:p>
        </w:tc>
        <w:tc>
          <w:tcPr>
            <w:tcW w:w="2410" w:type="dxa"/>
            <w:vAlign w:val="center"/>
          </w:tcPr>
          <w:p>
            <w:pPr>
              <w:jc w:val="center"/>
              <w:rPr>
                <w:color w:val="000000"/>
                <w:szCs w:val="21"/>
              </w:rPr>
            </w:pPr>
            <w:r>
              <w:rPr>
                <w:rFonts w:hint="eastAsia"/>
                <w:color w:val="000000"/>
                <w:szCs w:val="21"/>
              </w:rPr>
              <w:t>污染区</w:t>
            </w:r>
          </w:p>
        </w:tc>
        <w:tc>
          <w:tcPr>
            <w:tcW w:w="4783" w:type="dxa"/>
            <w:vAlign w:val="center"/>
          </w:tcPr>
          <w:p>
            <w:pPr>
              <w:jc w:val="center"/>
              <w:rPr>
                <w:color w:val="000000"/>
                <w:szCs w:val="21"/>
              </w:rPr>
            </w:pPr>
            <w:r>
              <w:rPr>
                <w:rFonts w:hint="eastAsia"/>
                <w:color w:val="000000"/>
                <w:szCs w:val="21"/>
              </w:rPr>
              <w:t>措施</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vAlign w:val="center"/>
          </w:tcPr>
          <w:p>
            <w:pPr>
              <w:jc w:val="center"/>
              <w:rPr>
                <w:color w:val="000000"/>
                <w:szCs w:val="21"/>
              </w:rPr>
            </w:pPr>
            <w:r>
              <w:rPr>
                <w:rFonts w:hint="eastAsia"/>
                <w:color w:val="000000"/>
                <w:szCs w:val="21"/>
              </w:rPr>
              <w:t>一般防渗区</w:t>
            </w:r>
          </w:p>
        </w:tc>
        <w:tc>
          <w:tcPr>
            <w:tcW w:w="2410" w:type="dxa"/>
            <w:vAlign w:val="center"/>
          </w:tcPr>
          <w:p>
            <w:pPr>
              <w:jc w:val="center"/>
              <w:rPr>
                <w:rFonts w:hint="eastAsia" w:eastAsia="宋体"/>
                <w:color w:val="000000"/>
                <w:szCs w:val="21"/>
                <w:lang w:eastAsia="zh-CN"/>
              </w:rPr>
            </w:pPr>
            <w:r>
              <w:rPr>
                <w:rFonts w:hint="eastAsia"/>
                <w:color w:val="000000"/>
                <w:szCs w:val="21"/>
                <w:lang w:eastAsia="zh-CN"/>
              </w:rPr>
              <w:t>生产车间、</w:t>
            </w:r>
            <w:r>
              <w:rPr>
                <w:rFonts w:hint="eastAsia"/>
                <w:color w:val="000000"/>
                <w:szCs w:val="21"/>
              </w:rPr>
              <w:t>雨水收集池</w:t>
            </w:r>
            <w:r>
              <w:rPr>
                <w:rFonts w:hint="eastAsia"/>
                <w:color w:val="000000"/>
                <w:szCs w:val="21"/>
                <w:lang w:eastAsia="zh-CN"/>
              </w:rPr>
              <w:t>、洗车平台</w:t>
            </w:r>
          </w:p>
        </w:tc>
        <w:tc>
          <w:tcPr>
            <w:tcW w:w="4783" w:type="dxa"/>
            <w:vAlign w:val="center"/>
          </w:tcPr>
          <w:p>
            <w:pPr>
              <w:jc w:val="center"/>
              <w:rPr>
                <w:color w:val="000000"/>
                <w:szCs w:val="21"/>
              </w:rPr>
            </w:pPr>
            <w:r>
              <w:rPr>
                <w:rFonts w:hint="eastAsia"/>
                <w:color w:val="000000"/>
                <w:szCs w:val="21"/>
              </w:rPr>
              <w:t>抗渗混凝土结构（厚度不小于</w:t>
            </w:r>
            <w:r>
              <w:rPr>
                <w:color w:val="000000"/>
                <w:szCs w:val="21"/>
              </w:rPr>
              <w:t>100mm</w:t>
            </w:r>
            <w:r>
              <w:rPr>
                <w:rFonts w:hint="eastAsia"/>
                <w:color w:val="000000"/>
                <w:szCs w:val="21"/>
              </w:rPr>
              <w:t>），渗透系数不大于</w:t>
            </w:r>
            <w:r>
              <w:rPr>
                <w:color w:val="000000"/>
                <w:szCs w:val="21"/>
              </w:rPr>
              <w:t>1.0×10</w:t>
            </w:r>
            <w:r>
              <w:rPr>
                <w:color w:val="000000"/>
                <w:szCs w:val="21"/>
                <w:vertAlign w:val="superscript"/>
              </w:rPr>
              <w:t>-</w:t>
            </w:r>
            <w:r>
              <w:rPr>
                <w:rFonts w:hint="eastAsia"/>
                <w:color w:val="000000"/>
                <w:szCs w:val="21"/>
                <w:vertAlign w:val="superscript"/>
              </w:rPr>
              <w:t>5</w:t>
            </w:r>
            <w:r>
              <w:rPr>
                <w:color w:val="000000"/>
                <w:szCs w:val="21"/>
              </w:rPr>
              <w:t>cm/s</w:t>
            </w:r>
            <w:r>
              <w:rPr>
                <w:rFonts w:hint="eastAsia"/>
                <w:color w:val="000000"/>
                <w:szCs w:val="21"/>
              </w:rPr>
              <w:t>。</w:t>
            </w:r>
          </w:p>
        </w:tc>
      </w:tr>
      <w:bookmarkEnd w:id="17"/>
    </w:tbl>
    <w:p>
      <w:pPr>
        <w:spacing w:line="480" w:lineRule="exact"/>
        <w:ind w:firstLine="480" w:firstLineChars="200"/>
        <w:jc w:val="left"/>
        <w:rPr>
          <w:color w:val="000000"/>
          <w:sz w:val="24"/>
        </w:rPr>
      </w:pPr>
      <w:r>
        <w:rPr>
          <w:rFonts w:hint="eastAsia" w:hAnsi="宋体"/>
          <w:color w:val="000000"/>
          <w:sz w:val="24"/>
        </w:rPr>
        <w:t>根据相关的防渗标准和规范，结合目前施工过程中的可操作性和技术水平，针对不同的防渗区域采用的防渗措施如下：</w:t>
      </w:r>
    </w:p>
    <w:p>
      <w:pPr>
        <w:autoSpaceDE w:val="0"/>
        <w:autoSpaceDN w:val="0"/>
        <w:adjustRightInd w:val="0"/>
        <w:spacing w:line="480" w:lineRule="exact"/>
        <w:ind w:firstLine="482" w:firstLineChars="200"/>
        <w:rPr>
          <w:b/>
          <w:color w:val="000000"/>
          <w:kern w:val="0"/>
          <w:sz w:val="24"/>
        </w:rPr>
      </w:pPr>
      <w:r>
        <w:rPr>
          <w:rFonts w:hint="eastAsia" w:hAnsi="宋体"/>
          <w:b/>
          <w:color w:val="000000"/>
          <w:kern w:val="0"/>
          <w:sz w:val="24"/>
        </w:rPr>
        <w:t>（</w:t>
      </w:r>
      <w:r>
        <w:rPr>
          <w:b/>
          <w:color w:val="000000"/>
          <w:kern w:val="0"/>
          <w:sz w:val="24"/>
        </w:rPr>
        <w:t>1</w:t>
      </w:r>
      <w:r>
        <w:rPr>
          <w:rFonts w:hint="eastAsia" w:hAnsi="宋体"/>
          <w:b/>
          <w:color w:val="000000"/>
          <w:kern w:val="0"/>
          <w:sz w:val="24"/>
        </w:rPr>
        <w:t>）地面的防渗</w:t>
      </w:r>
    </w:p>
    <w:p>
      <w:pPr>
        <w:spacing w:line="480" w:lineRule="exact"/>
        <w:ind w:firstLine="480" w:firstLineChars="200"/>
        <w:jc w:val="left"/>
        <w:rPr>
          <w:rFonts w:hAnsi="宋体"/>
          <w:color w:val="000000"/>
          <w:sz w:val="24"/>
        </w:rPr>
      </w:pPr>
      <w:r>
        <w:rPr>
          <w:rFonts w:hint="eastAsia" w:hAnsi="宋体"/>
          <w:color w:val="000000"/>
          <w:sz w:val="24"/>
        </w:rPr>
        <w:t>地面采用防渗混凝土，其强度等级不宜小于</w:t>
      </w:r>
      <w:r>
        <w:rPr>
          <w:color w:val="000000"/>
          <w:sz w:val="24"/>
        </w:rPr>
        <w:t>C25</w:t>
      </w:r>
      <w:r>
        <w:rPr>
          <w:rFonts w:hint="eastAsia" w:hAnsi="宋体"/>
          <w:color w:val="000000"/>
          <w:sz w:val="24"/>
        </w:rPr>
        <w:t>，抗渗混凝土的抗渗等级不宜小于</w:t>
      </w:r>
      <w:r>
        <w:rPr>
          <w:color w:val="000000"/>
          <w:sz w:val="24"/>
        </w:rPr>
        <w:t>P6</w:t>
      </w:r>
      <w:r>
        <w:rPr>
          <w:rFonts w:hint="eastAsia" w:hAnsi="宋体"/>
          <w:color w:val="000000"/>
          <w:sz w:val="24"/>
        </w:rPr>
        <w:t>，其厚度不应小于</w:t>
      </w:r>
      <w:r>
        <w:rPr>
          <w:color w:val="000000"/>
          <w:sz w:val="24"/>
        </w:rPr>
        <w:t>100mm</w:t>
      </w:r>
      <w:r>
        <w:rPr>
          <w:rFonts w:hint="eastAsia" w:hAnsi="宋体"/>
          <w:color w:val="000000"/>
          <w:sz w:val="24"/>
        </w:rPr>
        <w:t>。确保防渗性能应与</w:t>
      </w:r>
      <w:r>
        <w:rPr>
          <w:color w:val="000000"/>
          <w:sz w:val="24"/>
        </w:rPr>
        <w:t>1.5</w:t>
      </w:r>
      <w:r>
        <w:rPr>
          <w:rFonts w:hint="eastAsia" w:hAnsi="宋体"/>
          <w:color w:val="000000"/>
          <w:sz w:val="24"/>
        </w:rPr>
        <w:t>米厚的粘土层（渗透系数</w:t>
      </w:r>
      <w:r>
        <w:rPr>
          <w:color w:val="000000"/>
          <w:sz w:val="24"/>
        </w:rPr>
        <w:t>1.0×l0</w:t>
      </w:r>
      <w:r>
        <w:rPr>
          <w:color w:val="000000"/>
          <w:sz w:val="24"/>
          <w:vertAlign w:val="superscript"/>
        </w:rPr>
        <w:t>-7</w:t>
      </w:r>
      <w:r>
        <w:rPr>
          <w:color w:val="000000"/>
          <w:sz w:val="24"/>
        </w:rPr>
        <w:t>cm/s</w:t>
      </w:r>
      <w:r>
        <w:rPr>
          <w:rFonts w:hint="eastAsia" w:hAnsi="宋体"/>
          <w:color w:val="000000"/>
          <w:sz w:val="24"/>
        </w:rPr>
        <w:t>）等效。并严格落实防腐、防渗、防混措施。地面防渗结构见图4。</w:t>
      </w:r>
    </w:p>
    <w:p>
      <w:pPr>
        <w:jc w:val="center"/>
        <w:rPr>
          <w:rFonts w:eastAsia="黑体" w:cs="宋体"/>
          <w:color w:val="000000"/>
          <w:kern w:val="0"/>
          <w:sz w:val="24"/>
          <w:szCs w:val="20"/>
        </w:rPr>
      </w:pPr>
      <w:r>
        <w:rPr>
          <w:rFonts w:eastAsia="黑体" w:cs="宋体"/>
          <w:color w:val="000000"/>
          <w:kern w:val="0"/>
          <w:sz w:val="24"/>
          <w:szCs w:val="20"/>
        </w:rPr>
        <w:drawing>
          <wp:inline distT="0" distB="0" distL="114300" distR="114300">
            <wp:extent cx="2962910" cy="1837690"/>
            <wp:effectExtent l="0" t="0" r="8890" b="10160"/>
            <wp:docPr id="5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9"/>
                    <pic:cNvPicPr>
                      <a:picLocks noChangeAspect="1"/>
                    </pic:cNvPicPr>
                  </pic:nvPicPr>
                  <pic:blipFill>
                    <a:blip r:embed="rId24"/>
                    <a:stretch>
                      <a:fillRect/>
                    </a:stretch>
                  </pic:blipFill>
                  <pic:spPr>
                    <a:xfrm>
                      <a:off x="0" y="0"/>
                      <a:ext cx="2962910" cy="1837690"/>
                    </a:xfrm>
                    <a:prstGeom prst="rect">
                      <a:avLst/>
                    </a:prstGeom>
                    <a:noFill/>
                    <a:ln>
                      <a:noFill/>
                    </a:ln>
                  </pic:spPr>
                </pic:pic>
              </a:graphicData>
            </a:graphic>
          </wp:inline>
        </w:drawing>
      </w:r>
    </w:p>
    <w:p>
      <w:pPr>
        <w:jc w:val="center"/>
        <w:rPr>
          <w:rFonts w:eastAsia="黑体" w:cs="宋体"/>
          <w:color w:val="000000"/>
          <w:kern w:val="0"/>
          <w:sz w:val="24"/>
          <w:szCs w:val="20"/>
        </w:rPr>
      </w:pPr>
      <w:r>
        <w:rPr>
          <w:rFonts w:hint="eastAsia" w:eastAsia="黑体" w:cs="宋体"/>
          <w:color w:val="000000"/>
          <w:kern w:val="0"/>
          <w:sz w:val="24"/>
          <w:szCs w:val="20"/>
        </w:rPr>
        <w:t>图</w:t>
      </w:r>
      <w:r>
        <w:rPr>
          <w:rFonts w:hint="eastAsia" w:eastAsia="黑体" w:cs="宋体"/>
          <w:color w:val="000000"/>
          <w:kern w:val="0"/>
          <w:sz w:val="24"/>
          <w:szCs w:val="20"/>
          <w:lang w:val="en-US" w:eastAsia="zh-CN"/>
        </w:rPr>
        <w:t>1-3</w:t>
      </w:r>
      <w:r>
        <w:rPr>
          <w:rFonts w:eastAsia="黑体" w:cs="宋体"/>
          <w:color w:val="000000"/>
          <w:kern w:val="0"/>
          <w:sz w:val="24"/>
          <w:szCs w:val="20"/>
        </w:rPr>
        <w:t xml:space="preserve">  </w:t>
      </w:r>
      <w:r>
        <w:rPr>
          <w:rFonts w:hint="eastAsia" w:eastAsia="黑体" w:cs="宋体"/>
          <w:color w:val="000000"/>
          <w:kern w:val="0"/>
          <w:sz w:val="24"/>
          <w:szCs w:val="20"/>
        </w:rPr>
        <w:t>地面防渗结构图</w:t>
      </w:r>
    </w:p>
    <w:p>
      <w:pPr>
        <w:spacing w:line="480" w:lineRule="exact"/>
        <w:outlineLvl w:val="3"/>
        <w:rPr>
          <w:rFonts w:eastAsia="黑体"/>
          <w:color w:val="000000"/>
          <w:sz w:val="24"/>
          <w:szCs w:val="21"/>
        </w:rPr>
      </w:pPr>
      <w:r>
        <w:rPr>
          <w:rFonts w:hint="eastAsia" w:eastAsia="黑体"/>
          <w:color w:val="000000"/>
          <w:sz w:val="24"/>
          <w:szCs w:val="21"/>
        </w:rPr>
        <w:t>1.3.4环境保护管理措施</w:t>
      </w:r>
    </w:p>
    <w:p>
      <w:pPr>
        <w:spacing w:line="480" w:lineRule="exact"/>
        <w:outlineLvl w:val="2"/>
        <w:rPr>
          <w:b/>
          <w:color w:val="000000"/>
          <w:sz w:val="24"/>
        </w:rPr>
      </w:pPr>
      <w:bookmarkStart w:id="18" w:name="_Toc519875226"/>
      <w:r>
        <w:rPr>
          <w:rFonts w:hint="eastAsia"/>
          <w:b/>
          <w:color w:val="000000"/>
          <w:sz w:val="24"/>
        </w:rPr>
        <w:t>1.3.4.1检修维护制度和组织管理</w:t>
      </w:r>
      <w:bookmarkEnd w:id="18"/>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按照行业生产的相关管理要求，全厂各排水及水处理设施应与其他主体生产设施一样建立定期检修维护制度，把生产生活污水的非正常外泄控制在未出现之前。发现隐患及时处理。加强水污染防治工作，减少废水等的跑、冒、滴、漏现象，严禁生产生活污水通过雨水排水系统直接外排。严格按设计要求进行工程建设和运行管理，各类工业废水应集中处理，全部回收利用不外排。</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加强维护冷却水循环水池、化粪池等各水池管线经过的区域并完善检漏措施。对防渗系统的维护要建立制度，定期排查检修，并应由专业人员负责实施。</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全厂有统一的环保责任制，同时积极接受当地环保主管部门的监督和指导，做好地下水环境保护的宣传教育，提高员工环保意识，保证排水和水处理设施正常运行，减少对地下水环境的影响。</w:t>
      </w:r>
    </w:p>
    <w:p>
      <w:pPr>
        <w:spacing w:line="480" w:lineRule="exact"/>
        <w:outlineLvl w:val="2"/>
        <w:rPr>
          <w:b/>
          <w:color w:val="000000"/>
          <w:sz w:val="24"/>
        </w:rPr>
      </w:pPr>
      <w:bookmarkStart w:id="19" w:name="_Toc519875227"/>
      <w:r>
        <w:rPr>
          <w:rFonts w:hint="eastAsia"/>
          <w:b/>
          <w:color w:val="000000"/>
          <w:sz w:val="24"/>
        </w:rPr>
        <w:t>1.3.4.2应急响应预案</w:t>
      </w:r>
      <w:bookmarkEnd w:id="19"/>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制定风险事故应急预案的目的是为了在发生风险事故时，能以最快的速度发挥最大的效能，有序的实施补救措施，尽快控制事态的发展，降低事故对区域地下水的污染影响。风险事故应急预案应采取如下措施：</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一旦发生地下水污染事故，应立即启动应急预案，同时上部相关部门：</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迅速控制厂区事故现场，切断污染源；</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对渗漏装置中剩余污水或液体送至污水处理厂或妥善处理；</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对渗漏点下部被污染的土壤进行异位处理；</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探明地下水污染深度、范围和污染程度；</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依据探明的地下水污染情况，合理布置截渗井，并进行试抽工作；</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依据抽水设计方案进行施工，抽取被污染的地下水体，并依据各井孔出水情况进行调整；</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将抽出的地下水进行集中收集处理，并送实验室进行化验分析；</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当地下水中的特征污染物浓度满足地下水功能区划的标准后，逐渐停止抽水，并进行土壤修复治理工作。</w:t>
      </w:r>
    </w:p>
    <w:p>
      <w:pPr>
        <w:keepNext/>
        <w:keepLines/>
        <w:spacing w:line="480" w:lineRule="exact"/>
        <w:outlineLvl w:val="1"/>
        <w:rPr>
          <w:b/>
          <w:color w:val="000000"/>
          <w:sz w:val="28"/>
          <w:szCs w:val="28"/>
        </w:rPr>
      </w:pPr>
      <w:r>
        <w:rPr>
          <w:rFonts w:hint="eastAsia" w:eastAsia="黑体"/>
          <w:color w:val="000000"/>
          <w:sz w:val="24"/>
          <w:szCs w:val="21"/>
        </w:rPr>
        <w:t>1</w:t>
      </w:r>
      <w:r>
        <w:rPr>
          <w:rFonts w:hint="eastAsia" w:eastAsia="黑体"/>
          <w:color w:val="000000"/>
          <w:sz w:val="24"/>
        </w:rPr>
        <w:t>.3.5</w:t>
      </w:r>
      <w:r>
        <w:rPr>
          <w:rFonts w:hint="eastAsia"/>
          <w:b/>
          <w:color w:val="000000"/>
          <w:sz w:val="24"/>
        </w:rPr>
        <w:t>地下水跟踪监测</w:t>
      </w:r>
    </w:p>
    <w:p>
      <w:pPr>
        <w:spacing w:line="480" w:lineRule="exact"/>
        <w:ind w:firstLine="480" w:firstLineChars="200"/>
        <w:rPr>
          <w:color w:val="000000"/>
          <w:sz w:val="24"/>
          <w:szCs w:val="20"/>
        </w:rPr>
      </w:pPr>
      <w:r>
        <w:rPr>
          <w:rFonts w:hint="eastAsia"/>
          <w:color w:val="000000"/>
          <w:sz w:val="24"/>
          <w:szCs w:val="20"/>
        </w:rPr>
        <w:t>实施地下水跟踪监测可以及时准确掌握厂区及下游地下水环境质量状况和地下水体中污染物的动态变化，尽早发现地下水是否遭受污染，以便及时采取控制和处理措施。本项目拟建立覆盖全区的地下水长期监控系统，包括科学、合理地设置地下水污染监控井，建立完善的监测制度，配备先进的检测仪器和设备，以便及时发现并及时控制。</w:t>
      </w:r>
    </w:p>
    <w:p>
      <w:pPr>
        <w:spacing w:line="480" w:lineRule="exact"/>
        <w:ind w:firstLine="480" w:firstLineChars="200"/>
        <w:rPr>
          <w:color w:val="000000"/>
          <w:sz w:val="24"/>
          <w:szCs w:val="20"/>
        </w:rPr>
      </w:pPr>
      <w:r>
        <w:rPr>
          <w:rFonts w:hint="eastAsia"/>
          <w:color w:val="000000"/>
          <w:sz w:val="24"/>
          <w:szCs w:val="20"/>
        </w:rPr>
        <w:t>本项目地下水环境监测主要参考《地下水环境监测技术规范》（</w:t>
      </w:r>
      <w:r>
        <w:rPr>
          <w:color w:val="000000"/>
          <w:sz w:val="24"/>
          <w:szCs w:val="20"/>
        </w:rPr>
        <w:t>HJ/T164</w:t>
      </w:r>
      <w:r>
        <w:rPr>
          <w:rFonts w:hint="eastAsia"/>
          <w:color w:val="000000"/>
          <w:sz w:val="24"/>
          <w:szCs w:val="20"/>
        </w:rPr>
        <w:t>－</w:t>
      </w:r>
      <w:r>
        <w:rPr>
          <w:color w:val="000000"/>
          <w:sz w:val="24"/>
          <w:szCs w:val="20"/>
        </w:rPr>
        <w:t>2004</w:t>
      </w:r>
      <w:r>
        <w:rPr>
          <w:rFonts w:hint="eastAsia"/>
          <w:color w:val="000000"/>
          <w:sz w:val="24"/>
          <w:szCs w:val="20"/>
        </w:rPr>
        <w:t>），结合研究区含水层系统和地下水径流系统特征，考虑潜在污染源、环境保护目标等因素，并结合模型模拟预测的结果来布置地下水监测点。</w:t>
      </w:r>
    </w:p>
    <w:p>
      <w:pPr>
        <w:spacing w:line="480" w:lineRule="exact"/>
        <w:ind w:firstLine="480" w:firstLineChars="200"/>
        <w:rPr>
          <w:color w:val="000000"/>
          <w:sz w:val="24"/>
          <w:szCs w:val="20"/>
        </w:rPr>
      </w:pPr>
      <w:r>
        <w:rPr>
          <w:rFonts w:hint="eastAsia"/>
          <w:color w:val="000000"/>
          <w:sz w:val="24"/>
          <w:szCs w:val="20"/>
        </w:rPr>
        <w:t>（</w:t>
      </w:r>
      <w:r>
        <w:rPr>
          <w:color w:val="000000"/>
          <w:sz w:val="24"/>
          <w:szCs w:val="20"/>
        </w:rPr>
        <w:t>1</w:t>
      </w:r>
      <w:r>
        <w:rPr>
          <w:rFonts w:hint="eastAsia"/>
          <w:color w:val="000000"/>
          <w:sz w:val="24"/>
          <w:szCs w:val="20"/>
        </w:rPr>
        <w:t>）地下水污染控制监测井设置</w:t>
      </w:r>
    </w:p>
    <w:p>
      <w:pPr>
        <w:spacing w:line="480" w:lineRule="exact"/>
        <w:ind w:firstLine="480" w:firstLineChars="200"/>
        <w:rPr>
          <w:color w:val="000000"/>
          <w:sz w:val="24"/>
          <w:szCs w:val="20"/>
        </w:rPr>
      </w:pPr>
      <w:r>
        <w:rPr>
          <w:rFonts w:hint="eastAsia"/>
          <w:color w:val="000000"/>
          <w:sz w:val="24"/>
          <w:szCs w:val="20"/>
        </w:rPr>
        <w:t>污染源的分布和污染物在地下水中扩散形式是布设污染控制监测井的首要考虑因素。根据本项目所在区域地下水流向、污染源分布状况和污染物在地下水中扩散形式，采取点面结合的方法布设污染监测控制井。这些监测井位于污染物的运移方向上，组成监测网络，以适应于监测面状分布的污染物。</w:t>
      </w:r>
    </w:p>
    <w:p>
      <w:pPr>
        <w:spacing w:line="480" w:lineRule="exact"/>
        <w:ind w:firstLine="480" w:firstLineChars="200"/>
        <w:rPr>
          <w:color w:val="000000"/>
          <w:sz w:val="24"/>
          <w:szCs w:val="20"/>
        </w:rPr>
      </w:pPr>
      <w:r>
        <w:rPr>
          <w:rFonts w:hint="eastAsia"/>
          <w:color w:val="000000"/>
          <w:sz w:val="24"/>
          <w:szCs w:val="20"/>
        </w:rPr>
        <w:t>依据地下水监测原则，结合评价区水文地质条件，本项目共布设地下水监测孔1眼，在后石湖村设一个监测井。</w:t>
      </w:r>
    </w:p>
    <w:p>
      <w:pPr>
        <w:spacing w:line="480" w:lineRule="atLeast"/>
        <w:jc w:val="center"/>
        <w:rPr>
          <w:rFonts w:eastAsia="黑体"/>
          <w:color w:val="000000"/>
          <w:kern w:val="0"/>
        </w:rPr>
      </w:pPr>
      <w:r>
        <w:rPr>
          <w:rFonts w:hint="eastAsia" w:eastAsia="黑体"/>
          <w:color w:val="000000"/>
          <w:kern w:val="0"/>
        </w:rPr>
        <w:t>表</w:t>
      </w:r>
      <w:r>
        <w:rPr>
          <w:rFonts w:eastAsia="黑体"/>
          <w:color w:val="000000"/>
          <w:kern w:val="0"/>
        </w:rPr>
        <w:t xml:space="preserve">1-8  </w:t>
      </w:r>
      <w:r>
        <w:rPr>
          <w:rFonts w:hint="eastAsia" w:eastAsia="黑体"/>
          <w:color w:val="000000"/>
          <w:kern w:val="0"/>
        </w:rPr>
        <w:t>地下水跟踪监测点布置方案</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276"/>
        <w:gridCol w:w="1701"/>
        <w:gridCol w:w="228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hAnsi="宋体"/>
                <w:color w:val="000000"/>
              </w:rPr>
              <w:t>井号</w:t>
            </w:r>
          </w:p>
        </w:tc>
        <w:tc>
          <w:tcPr>
            <w:tcW w:w="687"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hAnsi="宋体"/>
                <w:color w:val="000000"/>
              </w:rPr>
              <w:t>井深（</w:t>
            </w:r>
            <w:r>
              <w:rPr>
                <w:color w:val="000000"/>
              </w:rPr>
              <w:t>m</w:t>
            </w:r>
            <w:r>
              <w:rPr>
                <w:rFonts w:hint="eastAsia" w:hAnsi="宋体"/>
                <w:color w:val="000000"/>
              </w:rPr>
              <w:t>）</w:t>
            </w:r>
          </w:p>
        </w:tc>
        <w:tc>
          <w:tcPr>
            <w:tcW w:w="916"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hAnsi="宋体"/>
                <w:color w:val="000000"/>
              </w:rPr>
              <w:t>井结构</w:t>
            </w:r>
          </w:p>
        </w:tc>
        <w:tc>
          <w:tcPr>
            <w:tcW w:w="1231"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hAnsi="宋体"/>
                <w:color w:val="000000"/>
              </w:rPr>
              <w:t>功能</w:t>
            </w:r>
          </w:p>
        </w:tc>
        <w:tc>
          <w:tcPr>
            <w:tcW w:w="126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hAnsi="宋体"/>
                <w:color w:val="000000"/>
              </w:rPr>
              <w:t>监测层位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后石湖村</w:t>
            </w:r>
          </w:p>
        </w:tc>
        <w:tc>
          <w:tcPr>
            <w:tcW w:w="68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color w:val="000000"/>
              </w:rPr>
            </w:pPr>
            <w:r>
              <w:rPr>
                <w:rFonts w:hint="eastAsia"/>
                <w:color w:val="000000"/>
              </w:rPr>
              <w:t>65</w:t>
            </w:r>
          </w:p>
        </w:tc>
        <w:tc>
          <w:tcPr>
            <w:tcW w:w="916"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hAnsi="宋体"/>
                <w:color w:val="000000"/>
              </w:rPr>
              <w:t>混凝土管井</w:t>
            </w:r>
          </w:p>
        </w:tc>
        <w:tc>
          <w:tcPr>
            <w:tcW w:w="1231"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地下水环境影响跟踪监测点</w:t>
            </w:r>
          </w:p>
        </w:tc>
        <w:tc>
          <w:tcPr>
            <w:tcW w:w="126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hAnsi="宋体"/>
                <w:color w:val="000000"/>
              </w:rPr>
              <w:t>第四系松散岩类孔隙含水层</w:t>
            </w:r>
          </w:p>
        </w:tc>
      </w:tr>
    </w:tbl>
    <w:p>
      <w:pPr>
        <w:spacing w:line="480" w:lineRule="exact"/>
        <w:ind w:firstLine="480" w:firstLineChars="200"/>
        <w:rPr>
          <w:color w:val="000000"/>
          <w:sz w:val="24"/>
          <w:szCs w:val="20"/>
        </w:rPr>
      </w:pPr>
      <w:r>
        <w:rPr>
          <w:rFonts w:hint="eastAsia"/>
          <w:color w:val="000000"/>
          <w:sz w:val="24"/>
          <w:szCs w:val="20"/>
        </w:rPr>
        <w:t>（</w:t>
      </w:r>
      <w:r>
        <w:rPr>
          <w:color w:val="000000"/>
          <w:sz w:val="24"/>
          <w:szCs w:val="20"/>
        </w:rPr>
        <w:t>2</w:t>
      </w:r>
      <w:r>
        <w:rPr>
          <w:rFonts w:hint="eastAsia"/>
          <w:color w:val="000000"/>
          <w:sz w:val="24"/>
          <w:szCs w:val="20"/>
        </w:rPr>
        <w:t>）监测项目</w:t>
      </w:r>
    </w:p>
    <w:p>
      <w:pPr>
        <w:spacing w:line="480" w:lineRule="exact"/>
        <w:ind w:firstLine="480" w:firstLineChars="200"/>
        <w:rPr>
          <w:color w:val="000000"/>
          <w:sz w:val="24"/>
          <w:szCs w:val="20"/>
        </w:rPr>
      </w:pPr>
      <w:r>
        <w:rPr>
          <w:rFonts w:hint="eastAsia"/>
          <w:color w:val="000000"/>
          <w:sz w:val="24"/>
          <w:szCs w:val="20"/>
        </w:rPr>
        <w:t>地下水：水位观测井主要监测水井井深、水位、取水层位。水质监测井监测项目包括</w:t>
      </w:r>
      <w:r>
        <w:rPr>
          <w:color w:val="000000"/>
          <w:sz w:val="24"/>
          <w:szCs w:val="20"/>
        </w:rPr>
        <w:t>pH</w:t>
      </w:r>
      <w:r>
        <w:rPr>
          <w:rFonts w:hint="eastAsia"/>
          <w:color w:val="000000"/>
          <w:sz w:val="24"/>
          <w:szCs w:val="20"/>
        </w:rPr>
        <w:t>、氨氮、硝酸盐氮、亚硝酸盐氮、挥发性酚类、氰化物、</w:t>
      </w:r>
      <w:r>
        <w:rPr>
          <w:color w:val="000000"/>
          <w:sz w:val="24"/>
          <w:szCs w:val="20"/>
        </w:rPr>
        <w:t>Hg</w:t>
      </w:r>
      <w:r>
        <w:rPr>
          <w:rFonts w:hint="eastAsia"/>
          <w:color w:val="000000"/>
          <w:sz w:val="24"/>
          <w:szCs w:val="20"/>
        </w:rPr>
        <w:t>、</w:t>
      </w:r>
      <w:r>
        <w:rPr>
          <w:color w:val="000000"/>
          <w:sz w:val="24"/>
          <w:szCs w:val="20"/>
        </w:rPr>
        <w:t>As</w:t>
      </w:r>
      <w:r>
        <w:rPr>
          <w:rFonts w:hint="eastAsia"/>
          <w:color w:val="000000"/>
          <w:sz w:val="24"/>
          <w:szCs w:val="20"/>
        </w:rPr>
        <w:t>、六价铬、总硬度、铅、氟化物、铁、镉、锰、溶解性总固体、耗氧量、硫酸盐、氯化物、细菌总数、总大肠菌群等共</w:t>
      </w:r>
      <w:r>
        <w:rPr>
          <w:color w:val="000000"/>
          <w:sz w:val="24"/>
          <w:szCs w:val="20"/>
        </w:rPr>
        <w:t>21</w:t>
      </w:r>
      <w:r>
        <w:rPr>
          <w:rFonts w:hint="eastAsia"/>
          <w:color w:val="000000"/>
          <w:sz w:val="24"/>
          <w:szCs w:val="20"/>
        </w:rPr>
        <w:t>项。</w:t>
      </w:r>
    </w:p>
    <w:p>
      <w:pPr>
        <w:spacing w:line="480" w:lineRule="exact"/>
        <w:ind w:firstLine="480" w:firstLineChars="200"/>
        <w:rPr>
          <w:color w:val="000000"/>
          <w:sz w:val="24"/>
          <w:szCs w:val="20"/>
        </w:rPr>
      </w:pPr>
      <w:r>
        <w:rPr>
          <w:rFonts w:hint="eastAsia"/>
          <w:color w:val="000000"/>
          <w:sz w:val="24"/>
          <w:szCs w:val="20"/>
        </w:rPr>
        <w:t>（</w:t>
      </w:r>
      <w:r>
        <w:rPr>
          <w:color w:val="000000"/>
          <w:sz w:val="24"/>
          <w:szCs w:val="20"/>
        </w:rPr>
        <w:t>3</w:t>
      </w:r>
      <w:r>
        <w:rPr>
          <w:rFonts w:hint="eastAsia"/>
          <w:color w:val="000000"/>
          <w:sz w:val="24"/>
          <w:szCs w:val="20"/>
        </w:rPr>
        <w:t>）监测时间和频次</w:t>
      </w:r>
    </w:p>
    <w:p>
      <w:pPr>
        <w:spacing w:line="480" w:lineRule="exact"/>
        <w:ind w:firstLine="480" w:firstLineChars="200"/>
        <w:jc w:val="left"/>
        <w:rPr>
          <w:color w:val="000000"/>
          <w:sz w:val="24"/>
          <w:szCs w:val="22"/>
        </w:rPr>
      </w:pPr>
      <w:r>
        <w:rPr>
          <w:color w:val="000000"/>
          <w:sz w:val="24"/>
          <w:szCs w:val="22"/>
        </w:rPr>
        <w:t>1</w:t>
      </w:r>
      <w:r>
        <w:rPr>
          <w:rFonts w:hint="eastAsia"/>
          <w:color w:val="000000"/>
          <w:sz w:val="24"/>
          <w:szCs w:val="22"/>
        </w:rPr>
        <w:t>）污染控制监测井逢单月采样</w:t>
      </w:r>
      <w:r>
        <w:rPr>
          <w:color w:val="000000"/>
          <w:sz w:val="24"/>
          <w:szCs w:val="22"/>
        </w:rPr>
        <w:t>1</w:t>
      </w:r>
      <w:r>
        <w:rPr>
          <w:rFonts w:hint="eastAsia"/>
          <w:color w:val="000000"/>
          <w:sz w:val="24"/>
          <w:szCs w:val="22"/>
        </w:rPr>
        <w:t>次，全年</w:t>
      </w:r>
      <w:r>
        <w:rPr>
          <w:color w:val="000000"/>
          <w:sz w:val="24"/>
          <w:szCs w:val="22"/>
        </w:rPr>
        <w:t>3</w:t>
      </w:r>
      <w:r>
        <w:rPr>
          <w:rFonts w:hint="eastAsia"/>
          <w:color w:val="000000"/>
          <w:sz w:val="24"/>
          <w:szCs w:val="22"/>
        </w:rPr>
        <w:t>次。</w:t>
      </w:r>
    </w:p>
    <w:p>
      <w:pPr>
        <w:spacing w:line="480" w:lineRule="exact"/>
        <w:ind w:firstLine="480" w:firstLineChars="200"/>
        <w:jc w:val="left"/>
        <w:rPr>
          <w:color w:val="000000"/>
          <w:sz w:val="24"/>
          <w:szCs w:val="22"/>
        </w:rPr>
      </w:pPr>
      <w:r>
        <w:rPr>
          <w:color w:val="000000"/>
          <w:sz w:val="24"/>
          <w:szCs w:val="22"/>
        </w:rPr>
        <w:t>2</w:t>
      </w:r>
      <w:r>
        <w:rPr>
          <w:rFonts w:hint="eastAsia"/>
          <w:color w:val="000000"/>
          <w:sz w:val="24"/>
          <w:szCs w:val="22"/>
        </w:rPr>
        <w:t>）污染控制监测井的某一监测项目如果连续两年均低于控制标准值的</w:t>
      </w:r>
      <w:r>
        <w:rPr>
          <w:color w:val="000000"/>
          <w:sz w:val="24"/>
          <w:szCs w:val="22"/>
        </w:rPr>
        <w:t>1/5</w:t>
      </w:r>
      <w:r>
        <w:rPr>
          <w:rFonts w:hint="eastAsia"/>
          <w:color w:val="000000"/>
          <w:sz w:val="24"/>
          <w:szCs w:val="22"/>
        </w:rPr>
        <w:t>，且在监测井附近确实无新增污染源，而现有污染源排污量未增的情况下，本项目可每年在枯水期采样</w:t>
      </w:r>
      <w:r>
        <w:rPr>
          <w:color w:val="000000"/>
          <w:sz w:val="24"/>
          <w:szCs w:val="22"/>
        </w:rPr>
        <w:t>1</w:t>
      </w:r>
      <w:r>
        <w:rPr>
          <w:rFonts w:hint="eastAsia"/>
          <w:color w:val="000000"/>
          <w:sz w:val="24"/>
          <w:szCs w:val="22"/>
        </w:rPr>
        <w:t>次进行监测。一旦监测结果大于控制标准值的</w:t>
      </w:r>
      <w:r>
        <w:rPr>
          <w:color w:val="000000"/>
          <w:sz w:val="24"/>
          <w:szCs w:val="22"/>
        </w:rPr>
        <w:t>1/5</w:t>
      </w:r>
      <w:r>
        <w:rPr>
          <w:rFonts w:hint="eastAsia"/>
          <w:color w:val="000000"/>
          <w:sz w:val="24"/>
          <w:szCs w:val="22"/>
        </w:rPr>
        <w:t>，或在监测井附近有新的污染源或现有污染源新增排污量时，即恢复正常监测频次。</w:t>
      </w:r>
    </w:p>
    <w:p>
      <w:pPr>
        <w:spacing w:line="480" w:lineRule="exact"/>
        <w:ind w:firstLine="480" w:firstLineChars="200"/>
        <w:jc w:val="left"/>
        <w:rPr>
          <w:color w:val="000000"/>
          <w:sz w:val="24"/>
          <w:szCs w:val="22"/>
        </w:rPr>
      </w:pPr>
      <w:r>
        <w:rPr>
          <w:color w:val="000000"/>
          <w:sz w:val="24"/>
          <w:szCs w:val="22"/>
        </w:rPr>
        <w:t>3</w:t>
      </w:r>
      <w:r>
        <w:rPr>
          <w:rFonts w:hint="eastAsia"/>
          <w:color w:val="000000"/>
          <w:sz w:val="24"/>
          <w:szCs w:val="22"/>
        </w:rPr>
        <w:t>）遇到特殊的情况或发生污染事故，可能影响地下水水质时，应随时增加采样频次。</w:t>
      </w:r>
    </w:p>
    <w:p>
      <w:pPr>
        <w:spacing w:line="480" w:lineRule="exact"/>
        <w:ind w:firstLine="480" w:firstLineChars="200"/>
        <w:jc w:val="left"/>
        <w:rPr>
          <w:color w:val="000000"/>
          <w:sz w:val="24"/>
          <w:szCs w:val="22"/>
        </w:rPr>
      </w:pPr>
      <w:r>
        <w:rPr>
          <w:color w:val="000000"/>
          <w:sz w:val="24"/>
          <w:szCs w:val="22"/>
        </w:rPr>
        <w:t>4</w:t>
      </w:r>
      <w:r>
        <w:rPr>
          <w:rFonts w:hint="eastAsia"/>
          <w:color w:val="000000"/>
          <w:sz w:val="24"/>
          <w:szCs w:val="22"/>
        </w:rPr>
        <w:t>）地下水水位监测是测量静水位埋藏深度和高程。水位监测井的起测处（井口固定点）和附近地面必须测定高度。可按</w:t>
      </w:r>
      <w:r>
        <w:rPr>
          <w:color w:val="000000"/>
          <w:sz w:val="24"/>
          <w:szCs w:val="22"/>
        </w:rPr>
        <w:t>SL 58-93</w:t>
      </w:r>
      <w:r>
        <w:rPr>
          <w:rFonts w:hint="eastAsia"/>
          <w:color w:val="000000"/>
          <w:sz w:val="24"/>
          <w:szCs w:val="22"/>
        </w:rPr>
        <w:t>《水文普通测量规范》执行，按五等水准测量标准监测。</w:t>
      </w:r>
    </w:p>
    <w:p>
      <w:pPr>
        <w:spacing w:line="480" w:lineRule="exact"/>
        <w:ind w:firstLine="480" w:firstLineChars="200"/>
        <w:jc w:val="left"/>
        <w:rPr>
          <w:color w:val="000000"/>
          <w:sz w:val="24"/>
          <w:szCs w:val="22"/>
        </w:rPr>
      </w:pPr>
      <w:r>
        <w:rPr>
          <w:color w:val="000000"/>
          <w:sz w:val="24"/>
          <w:szCs w:val="22"/>
        </w:rPr>
        <w:t>5</w:t>
      </w:r>
      <w:r>
        <w:rPr>
          <w:rFonts w:hint="eastAsia"/>
          <w:color w:val="000000"/>
          <w:sz w:val="24"/>
          <w:szCs w:val="22"/>
        </w:rPr>
        <w:t>）水位监测每年</w:t>
      </w:r>
      <w:r>
        <w:rPr>
          <w:color w:val="000000"/>
          <w:sz w:val="24"/>
          <w:szCs w:val="22"/>
        </w:rPr>
        <w:t>2</w:t>
      </w:r>
      <w:r>
        <w:rPr>
          <w:rFonts w:hint="eastAsia"/>
          <w:color w:val="000000"/>
          <w:sz w:val="24"/>
          <w:szCs w:val="22"/>
        </w:rPr>
        <w:t>次，丰水期、枯水期各</w:t>
      </w:r>
      <w:r>
        <w:rPr>
          <w:color w:val="000000"/>
          <w:sz w:val="24"/>
          <w:szCs w:val="22"/>
        </w:rPr>
        <w:t>1</w:t>
      </w:r>
      <w:r>
        <w:rPr>
          <w:rFonts w:hint="eastAsia"/>
          <w:color w:val="000000"/>
          <w:sz w:val="24"/>
          <w:szCs w:val="22"/>
        </w:rPr>
        <w:t>次。</w:t>
      </w:r>
    </w:p>
    <w:p>
      <w:pPr>
        <w:spacing w:line="480" w:lineRule="exact"/>
        <w:ind w:firstLine="480" w:firstLineChars="200"/>
        <w:jc w:val="left"/>
        <w:rPr>
          <w:color w:val="000000"/>
          <w:sz w:val="24"/>
          <w:szCs w:val="22"/>
        </w:rPr>
      </w:pPr>
      <w:r>
        <w:rPr>
          <w:rFonts w:hint="eastAsia"/>
          <w:color w:val="000000"/>
          <w:sz w:val="24"/>
          <w:szCs w:val="22"/>
        </w:rPr>
        <w:t>此外，取样器材与现场监测仪器和取样方法要参照相关要求。</w:t>
      </w:r>
    </w:p>
    <w:p>
      <w:pPr>
        <w:spacing w:line="480" w:lineRule="exact"/>
        <w:ind w:firstLine="480" w:firstLineChars="200"/>
        <w:rPr>
          <w:color w:val="000000"/>
          <w:sz w:val="24"/>
          <w:szCs w:val="22"/>
        </w:rPr>
        <w:sectPr>
          <w:pgSz w:w="11906" w:h="16838"/>
          <w:pgMar w:top="1440" w:right="1418" w:bottom="1440" w:left="1418" w:header="851" w:footer="992" w:gutter="0"/>
          <w:cols w:space="720" w:num="1"/>
          <w:docGrid w:type="lines" w:linePitch="312" w:charSpace="0"/>
        </w:sectPr>
      </w:pPr>
    </w:p>
    <w:p>
      <w:pPr>
        <w:spacing w:line="480" w:lineRule="exact"/>
        <w:ind w:firstLine="480" w:firstLineChars="200"/>
        <w:rPr>
          <w:color w:val="000000"/>
          <w:sz w:val="24"/>
          <w:szCs w:val="20"/>
        </w:rPr>
      </w:pPr>
      <w:r>
        <w:rPr>
          <w:rFonts w:hint="eastAsia"/>
          <w:color w:val="000000"/>
          <w:sz w:val="24"/>
          <w:szCs w:val="22"/>
        </w:rPr>
        <w:t>上述监测结果应按项目有关规定及时建立档案，并定期向厂安全环保部门汇报，对于常规监测数据应该进行公开。如发现异常或发生事故，加密监测频次，改为每周监测一次，并分析污染原因，确定泄漏污染源，及时采取应急措施。</w:t>
      </w:r>
    </w:p>
    <w:p>
      <w:pPr>
        <w:spacing w:line="480" w:lineRule="exact"/>
        <w:ind w:firstLine="480" w:firstLineChars="200"/>
        <w:rPr>
          <w:color w:val="000000"/>
          <w:sz w:val="24"/>
          <w:szCs w:val="20"/>
        </w:rPr>
      </w:pPr>
      <w:r>
        <w:rPr>
          <w:rFonts w:hint="eastAsia"/>
          <w:color w:val="000000"/>
          <w:sz w:val="24"/>
          <w:szCs w:val="20"/>
        </w:rPr>
        <w:t>（</w:t>
      </w:r>
      <w:r>
        <w:rPr>
          <w:color w:val="000000"/>
          <w:sz w:val="24"/>
          <w:szCs w:val="20"/>
        </w:rPr>
        <w:t>4</w:t>
      </w:r>
      <w:r>
        <w:rPr>
          <w:rFonts w:hint="eastAsia"/>
          <w:color w:val="000000"/>
          <w:sz w:val="24"/>
          <w:szCs w:val="20"/>
        </w:rPr>
        <w:t>）监测结果反馈</w:t>
      </w:r>
    </w:p>
    <w:p>
      <w:pPr>
        <w:spacing w:line="480" w:lineRule="exact"/>
        <w:ind w:firstLine="480" w:firstLineChars="200"/>
        <w:rPr>
          <w:color w:val="000000"/>
          <w:sz w:val="24"/>
          <w:szCs w:val="20"/>
        </w:rPr>
      </w:pPr>
      <w:r>
        <w:rPr>
          <w:rFonts w:hint="eastAsia"/>
          <w:color w:val="000000"/>
          <w:sz w:val="24"/>
          <w:szCs w:val="20"/>
        </w:rPr>
        <w:t>对监测结果进行统计汇总，上报有关领导和上级主管部门，监测结果如有异常，应及时反馈生产管理部门，查找原因，及时解决，真正起到环境保护的作用。</w:t>
      </w:r>
    </w:p>
    <w:p>
      <w:pPr>
        <w:tabs>
          <w:tab w:val="left" w:pos="2660"/>
        </w:tabs>
        <w:snapToGrid w:val="0"/>
        <w:spacing w:line="480" w:lineRule="exact"/>
        <w:outlineLvl w:val="2"/>
        <w:rPr>
          <w:rFonts w:eastAsia="黑体"/>
          <w:bCs/>
          <w:color w:val="000000"/>
          <w:sz w:val="28"/>
          <w:szCs w:val="28"/>
        </w:rPr>
      </w:pPr>
      <w:r>
        <w:rPr>
          <w:rFonts w:hint="eastAsia" w:eastAsia="黑体"/>
          <w:bCs/>
          <w:color w:val="000000"/>
          <w:sz w:val="28"/>
          <w:szCs w:val="28"/>
        </w:rPr>
        <w:t>1.4结论</w:t>
      </w:r>
      <w:r>
        <w:rPr>
          <w:rFonts w:eastAsia="黑体"/>
          <w:bCs/>
          <w:color w:val="000000"/>
          <w:sz w:val="28"/>
          <w:szCs w:val="28"/>
        </w:rPr>
        <w:t>及建议</w:t>
      </w:r>
    </w:p>
    <w:p>
      <w:pPr>
        <w:autoSpaceDE w:val="0"/>
        <w:autoSpaceDN w:val="0"/>
        <w:adjustRightInd w:val="0"/>
        <w:snapToGrid w:val="0"/>
        <w:spacing w:line="480" w:lineRule="exact"/>
        <w:ind w:firstLine="480" w:firstLineChars="200"/>
        <w:rPr>
          <w:color w:val="000000"/>
          <w:kern w:val="0"/>
          <w:sz w:val="24"/>
        </w:rPr>
      </w:pPr>
      <w:r>
        <w:rPr>
          <w:rFonts w:hint="eastAsia"/>
          <w:color w:val="000000"/>
          <w:kern w:val="0"/>
          <w:sz w:val="24"/>
        </w:rPr>
        <w:t>综上所述，在严格采取环评要求的措施后，项目建设对地下水环境的影响较小。</w:t>
      </w:r>
      <w:r>
        <w:rPr>
          <w:color w:val="000000"/>
          <w:kern w:val="0"/>
          <w:sz w:val="24"/>
        </w:rPr>
        <w:t>水环境一旦被污染则很难弥补，因而对水环境特别是地下水的保护必须重视，我国政府颁布的《中华人民共和国水法》和《中华人民共和国水污染防治法》均以法律形式对水污染防治做出了明确的规定，国务院六部委提出的节水措施也十分明确。根据依法办事，以防为主，防治结合，抓关键、抓死角的防治原则，结合本次评价地下水的实际情况，提出以下的保护措施。</w:t>
      </w:r>
    </w:p>
    <w:p>
      <w:pPr>
        <w:autoSpaceDE w:val="0"/>
        <w:autoSpaceDN w:val="0"/>
        <w:adjustRightInd w:val="0"/>
        <w:snapToGrid w:val="0"/>
        <w:spacing w:line="480" w:lineRule="exact"/>
        <w:ind w:firstLine="480" w:firstLineChars="200"/>
        <w:rPr>
          <w:color w:val="000000"/>
          <w:kern w:val="0"/>
          <w:sz w:val="24"/>
        </w:rPr>
      </w:pPr>
      <w:r>
        <w:rPr>
          <w:color w:val="000000"/>
          <w:kern w:val="0"/>
          <w:sz w:val="24"/>
        </w:rPr>
        <w:t>(1)严格管理，对设备及管道加强维护</w:t>
      </w:r>
    </w:p>
    <w:p>
      <w:pPr>
        <w:autoSpaceDE w:val="0"/>
        <w:autoSpaceDN w:val="0"/>
        <w:adjustRightInd w:val="0"/>
        <w:snapToGrid w:val="0"/>
        <w:spacing w:line="480" w:lineRule="exact"/>
        <w:rPr>
          <w:color w:val="000000"/>
          <w:kern w:val="0"/>
          <w:sz w:val="24"/>
        </w:rPr>
      </w:pPr>
      <w:r>
        <w:rPr>
          <w:color w:val="000000"/>
          <w:kern w:val="0"/>
          <w:sz w:val="24"/>
        </w:rPr>
        <w:t xml:space="preserve">    加强生产管理，防止生产过程中跑、冒、滴、漏、废水四处蔓延渗漏地下，对企业各生产设施应加强监管及相应的维护措施，严防废水对地下水的污染。</w:t>
      </w:r>
    </w:p>
    <w:p>
      <w:pPr>
        <w:autoSpaceDE w:val="0"/>
        <w:autoSpaceDN w:val="0"/>
        <w:adjustRightInd w:val="0"/>
        <w:snapToGrid w:val="0"/>
        <w:spacing w:line="480" w:lineRule="exact"/>
        <w:rPr>
          <w:color w:val="000000"/>
          <w:kern w:val="0"/>
          <w:sz w:val="24"/>
        </w:rPr>
      </w:pPr>
      <w:r>
        <w:rPr>
          <w:color w:val="000000"/>
          <w:kern w:val="0"/>
          <w:sz w:val="24"/>
        </w:rPr>
        <w:t xml:space="preserve">    (2)加强水资源的管理</w:t>
      </w:r>
    </w:p>
    <w:p>
      <w:pPr>
        <w:autoSpaceDE w:val="0"/>
        <w:autoSpaceDN w:val="0"/>
        <w:adjustRightInd w:val="0"/>
        <w:snapToGrid w:val="0"/>
        <w:spacing w:line="480" w:lineRule="exact"/>
        <w:rPr>
          <w:color w:val="000000"/>
          <w:kern w:val="0"/>
          <w:sz w:val="24"/>
        </w:rPr>
      </w:pPr>
      <w:r>
        <w:rPr>
          <w:color w:val="000000"/>
          <w:kern w:val="0"/>
          <w:sz w:val="24"/>
        </w:rPr>
        <w:t xml:space="preserve">    采取严格的计量办法，对企业生产、生活用水进行必要的控制，减少用水量，节约水资源。</w:t>
      </w:r>
    </w:p>
    <w:p>
      <w:pPr>
        <w:pStyle w:val="31"/>
        <w:ind w:firstLine="0" w:firstLineChars="0"/>
        <w:sectPr>
          <w:footerReference r:id="rId13" w:type="default"/>
          <w:pgSz w:w="11906" w:h="16838"/>
          <w:pgMar w:top="1440" w:right="1418" w:bottom="1440" w:left="1418" w:header="851" w:footer="992" w:gutter="0"/>
          <w:cols w:space="720" w:num="1"/>
          <w:docGrid w:type="lines" w:linePitch="312" w:charSpace="0"/>
        </w:sectPr>
      </w:pPr>
    </w:p>
    <w:p>
      <w:pPr>
        <w:pStyle w:val="2"/>
        <w:rPr>
          <w:rFonts w:hint="default"/>
          <w:lang w:val="en-US" w:eastAsia="zh-CN"/>
        </w:rPr>
      </w:pPr>
    </w:p>
    <w:sectPr>
      <w:headerReference r:id="rId14" w:type="default"/>
      <w:footerReference r:id="rId15" w:type="default"/>
      <w:pgSz w:w="11906" w:h="16838"/>
      <w:pgMar w:top="1440" w:right="1080" w:bottom="1440" w:left="1080"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LWOFKQ+TimesNewRomanPSMT">
    <w:altName w:val="微软雅黑"/>
    <w:panose1 w:val="000000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double" w:color="auto" w:sz="4" w:space="1"/>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g11ktAgAAV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Lg11ktAgAAVwQAAA4AAAAAAAAAAQAgAAAAHwEAAGRycy9lMm9Eb2MueG1sUEsFBgAAAAAG&#10;AAYAWQEAAL4FA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double" w:color="auto" w:sz="4" w:space="1"/>
      </w:pBd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65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thBk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qthBktAgAAVwQAAA4AAAAAAAAAAQAgAAAAHwEAAGRycy9lMm9Eb2MueG1sUEsFBgAAAAAG&#10;AAYAWQEAAL4FA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65</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66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RGw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B3TVTqPjpx/fT&#10;z4fTr28EZxCotX6GuHuLyNC9Mx3aZjj3OIy8u8qp+AUjAj/kPV7kFV0gPF6aTqbTHC4O37ABfvZ4&#10;3Tof3gujSDQK6lC/JCs7bHzoQ4eQmE2bdSNlqqHUpC3o1eu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ACxEbCwCAABXBAAADgAAAAAAAAABACAAAAAfAQAAZHJzL2Uyb0RvYy54bWxQSwUGAAAAAAYA&#10;BgBZAQAAvQU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66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1"/>
      </w:pBd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71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hhFywtAgAAVw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hhFywtAgAAVwQAAA4AAAAAAAAAAQAgAAAAHwEAAGRycy9lMm9Eb2MueG1sUEsFBgAAAAAG&#10;AAYAWQEAAL4FA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71</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1"/>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74A50"/>
    <w:multiLevelType w:val="singleLevel"/>
    <w:tmpl w:val="93874A50"/>
    <w:lvl w:ilvl="0" w:tentative="0">
      <w:start w:val="3"/>
      <w:numFmt w:val="decimal"/>
      <w:suff w:val="nothing"/>
      <w:lvlText w:val="（%1）"/>
      <w:lvlJc w:val="left"/>
    </w:lvl>
  </w:abstractNum>
  <w:abstractNum w:abstractNumId="1">
    <w:nsid w:val="348AAF90"/>
    <w:multiLevelType w:val="singleLevel"/>
    <w:tmpl w:val="348AAF90"/>
    <w:lvl w:ilvl="0" w:tentative="0">
      <w:start w:val="2"/>
      <w:numFmt w:val="decimal"/>
      <w:suff w:val="nothing"/>
      <w:lvlText w:val="（%1）"/>
      <w:lvlJc w:val="left"/>
    </w:lvl>
  </w:abstractNum>
  <w:abstractNum w:abstractNumId="2">
    <w:nsid w:val="403C0B90"/>
    <w:multiLevelType w:val="singleLevel"/>
    <w:tmpl w:val="403C0B90"/>
    <w:lvl w:ilvl="0" w:tentative="0">
      <w:start w:val="2"/>
      <w:numFmt w:val="decimal"/>
      <w:suff w:val="nothing"/>
      <w:lvlText w:val="（%1）"/>
      <w:lvlJc w:val="left"/>
    </w:lvl>
  </w:abstractNum>
  <w:abstractNum w:abstractNumId="3">
    <w:nsid w:val="4FC71F20"/>
    <w:multiLevelType w:val="singleLevel"/>
    <w:tmpl w:val="4FC71F20"/>
    <w:lvl w:ilvl="0" w:tentative="0">
      <w:start w:val="1"/>
      <w:numFmt w:val="decimal"/>
      <w:suff w:val="nothing"/>
      <w:lvlText w:val="%1、"/>
      <w:lvlJc w:val="left"/>
    </w:lvl>
  </w:abstractNum>
  <w:abstractNum w:abstractNumId="4">
    <w:nsid w:val="75905ADC"/>
    <w:multiLevelType w:val="multilevel"/>
    <w:tmpl w:val="75905ADC"/>
    <w:lvl w:ilvl="0" w:tentative="0">
      <w:start w:val="1"/>
      <w:numFmt w:val="decimal"/>
      <w:lvlText w:val="%1、"/>
      <w:lvlJc w:val="left"/>
      <w:pPr>
        <w:tabs>
          <w:tab w:val="left" w:pos="823"/>
        </w:tabs>
        <w:ind w:left="823" w:hanging="360"/>
      </w:pPr>
      <w:rPr>
        <w:rFonts w:hint="default"/>
      </w:rPr>
    </w:lvl>
    <w:lvl w:ilvl="1" w:tentative="0">
      <w:start w:val="1"/>
      <w:numFmt w:val="lowerLetter"/>
      <w:lvlText w:val="%2)"/>
      <w:lvlJc w:val="left"/>
      <w:pPr>
        <w:tabs>
          <w:tab w:val="left" w:pos="1303"/>
        </w:tabs>
        <w:ind w:left="1303" w:hanging="420"/>
      </w:pPr>
    </w:lvl>
    <w:lvl w:ilvl="2" w:tentative="0">
      <w:start w:val="1"/>
      <w:numFmt w:val="lowerRoman"/>
      <w:lvlText w:val="%3."/>
      <w:lvlJc w:val="right"/>
      <w:pPr>
        <w:tabs>
          <w:tab w:val="left" w:pos="1723"/>
        </w:tabs>
        <w:ind w:left="1723" w:hanging="420"/>
      </w:pPr>
    </w:lvl>
    <w:lvl w:ilvl="3" w:tentative="0">
      <w:start w:val="1"/>
      <w:numFmt w:val="decimal"/>
      <w:lvlText w:val="%4."/>
      <w:lvlJc w:val="left"/>
      <w:pPr>
        <w:tabs>
          <w:tab w:val="left" w:pos="2143"/>
        </w:tabs>
        <w:ind w:left="2143" w:hanging="420"/>
      </w:pPr>
    </w:lvl>
    <w:lvl w:ilvl="4" w:tentative="0">
      <w:start w:val="1"/>
      <w:numFmt w:val="lowerLetter"/>
      <w:lvlText w:val="%5)"/>
      <w:lvlJc w:val="left"/>
      <w:pPr>
        <w:tabs>
          <w:tab w:val="left" w:pos="2563"/>
        </w:tabs>
        <w:ind w:left="2563" w:hanging="420"/>
      </w:pPr>
    </w:lvl>
    <w:lvl w:ilvl="5" w:tentative="0">
      <w:start w:val="1"/>
      <w:numFmt w:val="lowerRoman"/>
      <w:lvlText w:val="%6."/>
      <w:lvlJc w:val="right"/>
      <w:pPr>
        <w:tabs>
          <w:tab w:val="left" w:pos="2983"/>
        </w:tabs>
        <w:ind w:left="2983" w:hanging="420"/>
      </w:pPr>
    </w:lvl>
    <w:lvl w:ilvl="6" w:tentative="0">
      <w:start w:val="1"/>
      <w:numFmt w:val="decimal"/>
      <w:lvlText w:val="%7."/>
      <w:lvlJc w:val="left"/>
      <w:pPr>
        <w:tabs>
          <w:tab w:val="left" w:pos="3403"/>
        </w:tabs>
        <w:ind w:left="3403" w:hanging="420"/>
      </w:pPr>
    </w:lvl>
    <w:lvl w:ilvl="7" w:tentative="0">
      <w:start w:val="1"/>
      <w:numFmt w:val="lowerLetter"/>
      <w:lvlText w:val="%8)"/>
      <w:lvlJc w:val="left"/>
      <w:pPr>
        <w:tabs>
          <w:tab w:val="left" w:pos="3823"/>
        </w:tabs>
        <w:ind w:left="3823" w:hanging="420"/>
      </w:pPr>
    </w:lvl>
    <w:lvl w:ilvl="8" w:tentative="0">
      <w:start w:val="1"/>
      <w:numFmt w:val="lowerRoman"/>
      <w:lvlText w:val="%9."/>
      <w:lvlJc w:val="right"/>
      <w:pPr>
        <w:tabs>
          <w:tab w:val="left" w:pos="4243"/>
        </w:tabs>
        <w:ind w:left="4243"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BA"/>
    <w:rsid w:val="00000E00"/>
    <w:rsid w:val="000021A4"/>
    <w:rsid w:val="0000274E"/>
    <w:rsid w:val="00003F3F"/>
    <w:rsid w:val="000052A9"/>
    <w:rsid w:val="000059AC"/>
    <w:rsid w:val="000065B8"/>
    <w:rsid w:val="00007FCC"/>
    <w:rsid w:val="000113A9"/>
    <w:rsid w:val="00014662"/>
    <w:rsid w:val="000159DD"/>
    <w:rsid w:val="000163F3"/>
    <w:rsid w:val="0001789D"/>
    <w:rsid w:val="0002091E"/>
    <w:rsid w:val="00021CBB"/>
    <w:rsid w:val="0002213B"/>
    <w:rsid w:val="0003369C"/>
    <w:rsid w:val="00042D31"/>
    <w:rsid w:val="00044952"/>
    <w:rsid w:val="00045E43"/>
    <w:rsid w:val="00050A05"/>
    <w:rsid w:val="00050EEF"/>
    <w:rsid w:val="00051133"/>
    <w:rsid w:val="00051792"/>
    <w:rsid w:val="00051AE0"/>
    <w:rsid w:val="0005215F"/>
    <w:rsid w:val="0005223B"/>
    <w:rsid w:val="00052344"/>
    <w:rsid w:val="00052593"/>
    <w:rsid w:val="00052A4F"/>
    <w:rsid w:val="00052F7E"/>
    <w:rsid w:val="000562DC"/>
    <w:rsid w:val="000615DB"/>
    <w:rsid w:val="00063F91"/>
    <w:rsid w:val="00064CE7"/>
    <w:rsid w:val="000662A7"/>
    <w:rsid w:val="00067141"/>
    <w:rsid w:val="00067DD2"/>
    <w:rsid w:val="00070392"/>
    <w:rsid w:val="00071072"/>
    <w:rsid w:val="000721F7"/>
    <w:rsid w:val="00074DCE"/>
    <w:rsid w:val="00075AFA"/>
    <w:rsid w:val="00075C45"/>
    <w:rsid w:val="00077FCC"/>
    <w:rsid w:val="0008280B"/>
    <w:rsid w:val="00093215"/>
    <w:rsid w:val="00093D98"/>
    <w:rsid w:val="000A0746"/>
    <w:rsid w:val="000A1B52"/>
    <w:rsid w:val="000A48B5"/>
    <w:rsid w:val="000A5D2E"/>
    <w:rsid w:val="000A75CA"/>
    <w:rsid w:val="000B3A87"/>
    <w:rsid w:val="000B49FF"/>
    <w:rsid w:val="000B5BAB"/>
    <w:rsid w:val="000B6FBF"/>
    <w:rsid w:val="000B784B"/>
    <w:rsid w:val="000C163B"/>
    <w:rsid w:val="000C1938"/>
    <w:rsid w:val="000C34F9"/>
    <w:rsid w:val="000C4C38"/>
    <w:rsid w:val="000C6FC2"/>
    <w:rsid w:val="000D1021"/>
    <w:rsid w:val="000D1ACD"/>
    <w:rsid w:val="000D21A1"/>
    <w:rsid w:val="000D32D7"/>
    <w:rsid w:val="000D4459"/>
    <w:rsid w:val="000D5EFC"/>
    <w:rsid w:val="000D7534"/>
    <w:rsid w:val="000E02E9"/>
    <w:rsid w:val="000E1A58"/>
    <w:rsid w:val="000E2F2F"/>
    <w:rsid w:val="000E3F49"/>
    <w:rsid w:val="000E5080"/>
    <w:rsid w:val="000E5221"/>
    <w:rsid w:val="000E5BB8"/>
    <w:rsid w:val="000E5EC0"/>
    <w:rsid w:val="000F25A8"/>
    <w:rsid w:val="000F3ECB"/>
    <w:rsid w:val="000F4603"/>
    <w:rsid w:val="000F587C"/>
    <w:rsid w:val="000F667D"/>
    <w:rsid w:val="000F79B4"/>
    <w:rsid w:val="001029CF"/>
    <w:rsid w:val="00103B2F"/>
    <w:rsid w:val="00104E32"/>
    <w:rsid w:val="00111A5B"/>
    <w:rsid w:val="00113763"/>
    <w:rsid w:val="00113ABB"/>
    <w:rsid w:val="00114A5A"/>
    <w:rsid w:val="001156FE"/>
    <w:rsid w:val="00116A81"/>
    <w:rsid w:val="00116EED"/>
    <w:rsid w:val="00117AFB"/>
    <w:rsid w:val="00123189"/>
    <w:rsid w:val="0012322A"/>
    <w:rsid w:val="0013231E"/>
    <w:rsid w:val="00132C57"/>
    <w:rsid w:val="00132E21"/>
    <w:rsid w:val="00132E9D"/>
    <w:rsid w:val="0013348D"/>
    <w:rsid w:val="00133B98"/>
    <w:rsid w:val="00133E7E"/>
    <w:rsid w:val="001349C8"/>
    <w:rsid w:val="0014208D"/>
    <w:rsid w:val="001459D6"/>
    <w:rsid w:val="00147801"/>
    <w:rsid w:val="00150634"/>
    <w:rsid w:val="00150AE2"/>
    <w:rsid w:val="00154F2D"/>
    <w:rsid w:val="001556A5"/>
    <w:rsid w:val="00155979"/>
    <w:rsid w:val="00156ADE"/>
    <w:rsid w:val="0015777F"/>
    <w:rsid w:val="00164D43"/>
    <w:rsid w:val="00165EC3"/>
    <w:rsid w:val="0016693A"/>
    <w:rsid w:val="00173475"/>
    <w:rsid w:val="0017375B"/>
    <w:rsid w:val="00174535"/>
    <w:rsid w:val="00175BF7"/>
    <w:rsid w:val="001767C6"/>
    <w:rsid w:val="001807A9"/>
    <w:rsid w:val="001844D9"/>
    <w:rsid w:val="0019518A"/>
    <w:rsid w:val="00195720"/>
    <w:rsid w:val="00195C43"/>
    <w:rsid w:val="00195EEF"/>
    <w:rsid w:val="001972DF"/>
    <w:rsid w:val="001A0E56"/>
    <w:rsid w:val="001A3B24"/>
    <w:rsid w:val="001A431F"/>
    <w:rsid w:val="001B00B5"/>
    <w:rsid w:val="001B039D"/>
    <w:rsid w:val="001B09BE"/>
    <w:rsid w:val="001B1361"/>
    <w:rsid w:val="001B18AD"/>
    <w:rsid w:val="001B1FB3"/>
    <w:rsid w:val="001B27EC"/>
    <w:rsid w:val="001B3755"/>
    <w:rsid w:val="001B4ACE"/>
    <w:rsid w:val="001C527E"/>
    <w:rsid w:val="001C60AE"/>
    <w:rsid w:val="001D011E"/>
    <w:rsid w:val="001D217C"/>
    <w:rsid w:val="001D38D1"/>
    <w:rsid w:val="001D47B1"/>
    <w:rsid w:val="001D6E96"/>
    <w:rsid w:val="001E1DF1"/>
    <w:rsid w:val="001E2ED6"/>
    <w:rsid w:val="001E44A8"/>
    <w:rsid w:val="001E45C5"/>
    <w:rsid w:val="001E4B5D"/>
    <w:rsid w:val="001E5A42"/>
    <w:rsid w:val="001E7EB3"/>
    <w:rsid w:val="001F12AB"/>
    <w:rsid w:val="001F15E2"/>
    <w:rsid w:val="001F16DB"/>
    <w:rsid w:val="001F36B2"/>
    <w:rsid w:val="001F3D96"/>
    <w:rsid w:val="001F4FFB"/>
    <w:rsid w:val="001F50BE"/>
    <w:rsid w:val="001F5402"/>
    <w:rsid w:val="001F637B"/>
    <w:rsid w:val="00204EF0"/>
    <w:rsid w:val="0020662E"/>
    <w:rsid w:val="0021232D"/>
    <w:rsid w:val="00212B17"/>
    <w:rsid w:val="00221E77"/>
    <w:rsid w:val="002221F2"/>
    <w:rsid w:val="002239D0"/>
    <w:rsid w:val="0023201A"/>
    <w:rsid w:val="00232758"/>
    <w:rsid w:val="002327A9"/>
    <w:rsid w:val="002333E3"/>
    <w:rsid w:val="00233590"/>
    <w:rsid w:val="00235C04"/>
    <w:rsid w:val="00235F53"/>
    <w:rsid w:val="00240E82"/>
    <w:rsid w:val="00243C59"/>
    <w:rsid w:val="0024445C"/>
    <w:rsid w:val="00245615"/>
    <w:rsid w:val="00246B1E"/>
    <w:rsid w:val="002511FC"/>
    <w:rsid w:val="00252051"/>
    <w:rsid w:val="00257878"/>
    <w:rsid w:val="00261A21"/>
    <w:rsid w:val="002632EA"/>
    <w:rsid w:val="002667B7"/>
    <w:rsid w:val="00267B8A"/>
    <w:rsid w:val="00267C01"/>
    <w:rsid w:val="0027028D"/>
    <w:rsid w:val="00272BCB"/>
    <w:rsid w:val="00272F5B"/>
    <w:rsid w:val="0027421E"/>
    <w:rsid w:val="002746E5"/>
    <w:rsid w:val="002748AC"/>
    <w:rsid w:val="00281AE2"/>
    <w:rsid w:val="00282C5B"/>
    <w:rsid w:val="00290868"/>
    <w:rsid w:val="00290A74"/>
    <w:rsid w:val="00292BB7"/>
    <w:rsid w:val="00293287"/>
    <w:rsid w:val="0029355A"/>
    <w:rsid w:val="002943D1"/>
    <w:rsid w:val="00294453"/>
    <w:rsid w:val="00296FB2"/>
    <w:rsid w:val="002A0F03"/>
    <w:rsid w:val="002A31CE"/>
    <w:rsid w:val="002B1184"/>
    <w:rsid w:val="002B40B7"/>
    <w:rsid w:val="002B78A0"/>
    <w:rsid w:val="002C49F7"/>
    <w:rsid w:val="002C67C4"/>
    <w:rsid w:val="002C691A"/>
    <w:rsid w:val="002C6B19"/>
    <w:rsid w:val="002C72EC"/>
    <w:rsid w:val="002C7EE2"/>
    <w:rsid w:val="002D00D5"/>
    <w:rsid w:val="002D57A8"/>
    <w:rsid w:val="002D5A83"/>
    <w:rsid w:val="002D5C16"/>
    <w:rsid w:val="002D619B"/>
    <w:rsid w:val="002E189F"/>
    <w:rsid w:val="002E3615"/>
    <w:rsid w:val="002E373A"/>
    <w:rsid w:val="002E445E"/>
    <w:rsid w:val="002E4A27"/>
    <w:rsid w:val="002E68AD"/>
    <w:rsid w:val="002E7033"/>
    <w:rsid w:val="002E7FEF"/>
    <w:rsid w:val="002F0D64"/>
    <w:rsid w:val="002F73B5"/>
    <w:rsid w:val="00300274"/>
    <w:rsid w:val="00301410"/>
    <w:rsid w:val="00302C3C"/>
    <w:rsid w:val="00303046"/>
    <w:rsid w:val="003035E8"/>
    <w:rsid w:val="003051C3"/>
    <w:rsid w:val="00305D5F"/>
    <w:rsid w:val="0031035F"/>
    <w:rsid w:val="003131B2"/>
    <w:rsid w:val="00315F5F"/>
    <w:rsid w:val="003211F2"/>
    <w:rsid w:val="00321637"/>
    <w:rsid w:val="00322B40"/>
    <w:rsid w:val="003259C1"/>
    <w:rsid w:val="00330A4D"/>
    <w:rsid w:val="00332F3F"/>
    <w:rsid w:val="00333427"/>
    <w:rsid w:val="00334603"/>
    <w:rsid w:val="003411C6"/>
    <w:rsid w:val="00341471"/>
    <w:rsid w:val="003439A8"/>
    <w:rsid w:val="00345728"/>
    <w:rsid w:val="003459A7"/>
    <w:rsid w:val="00350BF0"/>
    <w:rsid w:val="00351C47"/>
    <w:rsid w:val="003549F2"/>
    <w:rsid w:val="00357204"/>
    <w:rsid w:val="00357C71"/>
    <w:rsid w:val="003604FF"/>
    <w:rsid w:val="00361499"/>
    <w:rsid w:val="00362B4B"/>
    <w:rsid w:val="00363508"/>
    <w:rsid w:val="00363730"/>
    <w:rsid w:val="00364618"/>
    <w:rsid w:val="003648E2"/>
    <w:rsid w:val="0036641D"/>
    <w:rsid w:val="00367569"/>
    <w:rsid w:val="0037110F"/>
    <w:rsid w:val="003724A2"/>
    <w:rsid w:val="0037645B"/>
    <w:rsid w:val="00382CDC"/>
    <w:rsid w:val="00383487"/>
    <w:rsid w:val="0038576E"/>
    <w:rsid w:val="00386501"/>
    <w:rsid w:val="003931B2"/>
    <w:rsid w:val="00396B54"/>
    <w:rsid w:val="003A053F"/>
    <w:rsid w:val="003A202C"/>
    <w:rsid w:val="003A3A15"/>
    <w:rsid w:val="003A52E6"/>
    <w:rsid w:val="003A61BE"/>
    <w:rsid w:val="003A6D90"/>
    <w:rsid w:val="003A7919"/>
    <w:rsid w:val="003B1A86"/>
    <w:rsid w:val="003B58B2"/>
    <w:rsid w:val="003B6249"/>
    <w:rsid w:val="003B6785"/>
    <w:rsid w:val="003C1712"/>
    <w:rsid w:val="003C5511"/>
    <w:rsid w:val="003C6617"/>
    <w:rsid w:val="003C6A08"/>
    <w:rsid w:val="003D7573"/>
    <w:rsid w:val="003E3D36"/>
    <w:rsid w:val="003E6477"/>
    <w:rsid w:val="003E6DB9"/>
    <w:rsid w:val="003F15D4"/>
    <w:rsid w:val="003F4292"/>
    <w:rsid w:val="004005B9"/>
    <w:rsid w:val="004012F3"/>
    <w:rsid w:val="0040151F"/>
    <w:rsid w:val="004039C2"/>
    <w:rsid w:val="00403A35"/>
    <w:rsid w:val="00405196"/>
    <w:rsid w:val="00405BEC"/>
    <w:rsid w:val="00407ADC"/>
    <w:rsid w:val="00410005"/>
    <w:rsid w:val="00410ABD"/>
    <w:rsid w:val="00412482"/>
    <w:rsid w:val="0041618C"/>
    <w:rsid w:val="00417511"/>
    <w:rsid w:val="00423608"/>
    <w:rsid w:val="004301E9"/>
    <w:rsid w:val="00435F55"/>
    <w:rsid w:val="0044425D"/>
    <w:rsid w:val="00446530"/>
    <w:rsid w:val="00447B5B"/>
    <w:rsid w:val="00451399"/>
    <w:rsid w:val="00454C8A"/>
    <w:rsid w:val="00455821"/>
    <w:rsid w:val="004567E4"/>
    <w:rsid w:val="0046246A"/>
    <w:rsid w:val="00467DDE"/>
    <w:rsid w:val="0047129F"/>
    <w:rsid w:val="00474D3B"/>
    <w:rsid w:val="00475B24"/>
    <w:rsid w:val="00484147"/>
    <w:rsid w:val="004844AE"/>
    <w:rsid w:val="00485F9A"/>
    <w:rsid w:val="004A2480"/>
    <w:rsid w:val="004A2B9A"/>
    <w:rsid w:val="004A3479"/>
    <w:rsid w:val="004A544C"/>
    <w:rsid w:val="004A6456"/>
    <w:rsid w:val="004A693F"/>
    <w:rsid w:val="004A6B3C"/>
    <w:rsid w:val="004A797C"/>
    <w:rsid w:val="004A7FAE"/>
    <w:rsid w:val="004B0907"/>
    <w:rsid w:val="004B3024"/>
    <w:rsid w:val="004B4A9C"/>
    <w:rsid w:val="004B4FD9"/>
    <w:rsid w:val="004C24FC"/>
    <w:rsid w:val="004C44AF"/>
    <w:rsid w:val="004C60D7"/>
    <w:rsid w:val="004C6C52"/>
    <w:rsid w:val="004D1D64"/>
    <w:rsid w:val="004D2CF1"/>
    <w:rsid w:val="004D3C30"/>
    <w:rsid w:val="004D4323"/>
    <w:rsid w:val="004D505A"/>
    <w:rsid w:val="004E0928"/>
    <w:rsid w:val="004E0B0F"/>
    <w:rsid w:val="004E1961"/>
    <w:rsid w:val="004E6BF6"/>
    <w:rsid w:val="004E732C"/>
    <w:rsid w:val="004F1DF7"/>
    <w:rsid w:val="004F45AA"/>
    <w:rsid w:val="004F5C9D"/>
    <w:rsid w:val="004F5D22"/>
    <w:rsid w:val="004F768B"/>
    <w:rsid w:val="004F7BF6"/>
    <w:rsid w:val="0050370F"/>
    <w:rsid w:val="00504BBF"/>
    <w:rsid w:val="00512AE8"/>
    <w:rsid w:val="00520BAC"/>
    <w:rsid w:val="005218B3"/>
    <w:rsid w:val="00525871"/>
    <w:rsid w:val="00527FAD"/>
    <w:rsid w:val="00532A22"/>
    <w:rsid w:val="00532C07"/>
    <w:rsid w:val="00536052"/>
    <w:rsid w:val="00537387"/>
    <w:rsid w:val="005422A1"/>
    <w:rsid w:val="005434FD"/>
    <w:rsid w:val="00543FD3"/>
    <w:rsid w:val="005441E2"/>
    <w:rsid w:val="0055094E"/>
    <w:rsid w:val="00550E66"/>
    <w:rsid w:val="005512C0"/>
    <w:rsid w:val="005527FF"/>
    <w:rsid w:val="00553C91"/>
    <w:rsid w:val="005560FD"/>
    <w:rsid w:val="00556781"/>
    <w:rsid w:val="00561E51"/>
    <w:rsid w:val="00562616"/>
    <w:rsid w:val="00563BC7"/>
    <w:rsid w:val="00566B77"/>
    <w:rsid w:val="00570425"/>
    <w:rsid w:val="005720D4"/>
    <w:rsid w:val="0057427D"/>
    <w:rsid w:val="005750C4"/>
    <w:rsid w:val="005757C6"/>
    <w:rsid w:val="00576065"/>
    <w:rsid w:val="005773A6"/>
    <w:rsid w:val="00581032"/>
    <w:rsid w:val="005865AD"/>
    <w:rsid w:val="0058738E"/>
    <w:rsid w:val="00594808"/>
    <w:rsid w:val="005951A9"/>
    <w:rsid w:val="005A14D1"/>
    <w:rsid w:val="005A2077"/>
    <w:rsid w:val="005A4D25"/>
    <w:rsid w:val="005A6E37"/>
    <w:rsid w:val="005B0878"/>
    <w:rsid w:val="005B1A86"/>
    <w:rsid w:val="005B1C1C"/>
    <w:rsid w:val="005B42B8"/>
    <w:rsid w:val="005B7BF8"/>
    <w:rsid w:val="005C03A0"/>
    <w:rsid w:val="005C0615"/>
    <w:rsid w:val="005C10CF"/>
    <w:rsid w:val="005C3C28"/>
    <w:rsid w:val="005C468F"/>
    <w:rsid w:val="005C6061"/>
    <w:rsid w:val="005C7702"/>
    <w:rsid w:val="005D3293"/>
    <w:rsid w:val="005D3F45"/>
    <w:rsid w:val="005D5E6E"/>
    <w:rsid w:val="005D677F"/>
    <w:rsid w:val="005E4F9D"/>
    <w:rsid w:val="005E60D4"/>
    <w:rsid w:val="005E647D"/>
    <w:rsid w:val="005E6C83"/>
    <w:rsid w:val="005E72CE"/>
    <w:rsid w:val="005F246B"/>
    <w:rsid w:val="005F2FA7"/>
    <w:rsid w:val="005F342B"/>
    <w:rsid w:val="005F3BB4"/>
    <w:rsid w:val="005F4054"/>
    <w:rsid w:val="005F4C86"/>
    <w:rsid w:val="005F4ECD"/>
    <w:rsid w:val="005F6ECB"/>
    <w:rsid w:val="005F788A"/>
    <w:rsid w:val="0060111A"/>
    <w:rsid w:val="00602248"/>
    <w:rsid w:val="00602FF0"/>
    <w:rsid w:val="00610C5E"/>
    <w:rsid w:val="00610C6A"/>
    <w:rsid w:val="00613BDB"/>
    <w:rsid w:val="006143D0"/>
    <w:rsid w:val="006147CF"/>
    <w:rsid w:val="00614F80"/>
    <w:rsid w:val="00617AAB"/>
    <w:rsid w:val="00621230"/>
    <w:rsid w:val="006219CB"/>
    <w:rsid w:val="00622576"/>
    <w:rsid w:val="006241FF"/>
    <w:rsid w:val="0062700D"/>
    <w:rsid w:val="00627B4A"/>
    <w:rsid w:val="006314F6"/>
    <w:rsid w:val="0063454D"/>
    <w:rsid w:val="0063461E"/>
    <w:rsid w:val="006403D9"/>
    <w:rsid w:val="006405EB"/>
    <w:rsid w:val="006407C6"/>
    <w:rsid w:val="00645307"/>
    <w:rsid w:val="00651456"/>
    <w:rsid w:val="006516C4"/>
    <w:rsid w:val="00651F3C"/>
    <w:rsid w:val="00652134"/>
    <w:rsid w:val="00657CF8"/>
    <w:rsid w:val="006602ED"/>
    <w:rsid w:val="006608FC"/>
    <w:rsid w:val="00661D73"/>
    <w:rsid w:val="006637B7"/>
    <w:rsid w:val="006641B0"/>
    <w:rsid w:val="00667644"/>
    <w:rsid w:val="00672DDD"/>
    <w:rsid w:val="006731F3"/>
    <w:rsid w:val="00673351"/>
    <w:rsid w:val="00674F6C"/>
    <w:rsid w:val="006751ED"/>
    <w:rsid w:val="0068065E"/>
    <w:rsid w:val="00682695"/>
    <w:rsid w:val="0068504B"/>
    <w:rsid w:val="006850EE"/>
    <w:rsid w:val="006858E5"/>
    <w:rsid w:val="00687829"/>
    <w:rsid w:val="00690C6E"/>
    <w:rsid w:val="00691A2A"/>
    <w:rsid w:val="00691D9D"/>
    <w:rsid w:val="00691DE3"/>
    <w:rsid w:val="00692243"/>
    <w:rsid w:val="00693846"/>
    <w:rsid w:val="006A095A"/>
    <w:rsid w:val="006A239A"/>
    <w:rsid w:val="006A27F6"/>
    <w:rsid w:val="006A281D"/>
    <w:rsid w:val="006A4E1E"/>
    <w:rsid w:val="006B0B2A"/>
    <w:rsid w:val="006B2E4B"/>
    <w:rsid w:val="006B2E4F"/>
    <w:rsid w:val="006B4F69"/>
    <w:rsid w:val="006B7DF2"/>
    <w:rsid w:val="006C1391"/>
    <w:rsid w:val="006C3677"/>
    <w:rsid w:val="006C637F"/>
    <w:rsid w:val="006C7D61"/>
    <w:rsid w:val="006D0B46"/>
    <w:rsid w:val="006D2243"/>
    <w:rsid w:val="006E021B"/>
    <w:rsid w:val="006E3471"/>
    <w:rsid w:val="006E4043"/>
    <w:rsid w:val="006E460A"/>
    <w:rsid w:val="006E52C1"/>
    <w:rsid w:val="006F06E0"/>
    <w:rsid w:val="006F3095"/>
    <w:rsid w:val="006F383D"/>
    <w:rsid w:val="006F3DFD"/>
    <w:rsid w:val="006F57D7"/>
    <w:rsid w:val="006F5A50"/>
    <w:rsid w:val="00701858"/>
    <w:rsid w:val="00702D05"/>
    <w:rsid w:val="00703A8A"/>
    <w:rsid w:val="00704188"/>
    <w:rsid w:val="0071094C"/>
    <w:rsid w:val="0071727B"/>
    <w:rsid w:val="00721495"/>
    <w:rsid w:val="007214B3"/>
    <w:rsid w:val="007221BF"/>
    <w:rsid w:val="007233E2"/>
    <w:rsid w:val="00723E40"/>
    <w:rsid w:val="00725559"/>
    <w:rsid w:val="00726D85"/>
    <w:rsid w:val="00726EA1"/>
    <w:rsid w:val="00726FCA"/>
    <w:rsid w:val="00734155"/>
    <w:rsid w:val="007406B6"/>
    <w:rsid w:val="007415DB"/>
    <w:rsid w:val="00742B79"/>
    <w:rsid w:val="007438D4"/>
    <w:rsid w:val="00744D77"/>
    <w:rsid w:val="0074605D"/>
    <w:rsid w:val="00750268"/>
    <w:rsid w:val="00752A7E"/>
    <w:rsid w:val="00753497"/>
    <w:rsid w:val="00754076"/>
    <w:rsid w:val="00754EE3"/>
    <w:rsid w:val="00760340"/>
    <w:rsid w:val="007606B6"/>
    <w:rsid w:val="0076287E"/>
    <w:rsid w:val="007629A2"/>
    <w:rsid w:val="0076571E"/>
    <w:rsid w:val="00765997"/>
    <w:rsid w:val="00765F74"/>
    <w:rsid w:val="00767479"/>
    <w:rsid w:val="00771065"/>
    <w:rsid w:val="0077486B"/>
    <w:rsid w:val="007749D1"/>
    <w:rsid w:val="00776F0F"/>
    <w:rsid w:val="007773AC"/>
    <w:rsid w:val="00780699"/>
    <w:rsid w:val="00782D08"/>
    <w:rsid w:val="0078329B"/>
    <w:rsid w:val="00783EB3"/>
    <w:rsid w:val="0078762A"/>
    <w:rsid w:val="00787DD8"/>
    <w:rsid w:val="007922AA"/>
    <w:rsid w:val="007953AA"/>
    <w:rsid w:val="007A0ED6"/>
    <w:rsid w:val="007A20D9"/>
    <w:rsid w:val="007A3A29"/>
    <w:rsid w:val="007A3C52"/>
    <w:rsid w:val="007B3735"/>
    <w:rsid w:val="007B4F98"/>
    <w:rsid w:val="007B564E"/>
    <w:rsid w:val="007B6280"/>
    <w:rsid w:val="007C12E2"/>
    <w:rsid w:val="007C2F96"/>
    <w:rsid w:val="007C3004"/>
    <w:rsid w:val="007C3BD2"/>
    <w:rsid w:val="007C63BB"/>
    <w:rsid w:val="007C66AE"/>
    <w:rsid w:val="007C70C8"/>
    <w:rsid w:val="007D0683"/>
    <w:rsid w:val="007D142C"/>
    <w:rsid w:val="007D33AE"/>
    <w:rsid w:val="007D58DD"/>
    <w:rsid w:val="007E5466"/>
    <w:rsid w:val="007F0796"/>
    <w:rsid w:val="00803805"/>
    <w:rsid w:val="008038E4"/>
    <w:rsid w:val="00805153"/>
    <w:rsid w:val="0080590A"/>
    <w:rsid w:val="00805C38"/>
    <w:rsid w:val="00812AED"/>
    <w:rsid w:val="00812F1A"/>
    <w:rsid w:val="00813696"/>
    <w:rsid w:val="008160C1"/>
    <w:rsid w:val="008172DD"/>
    <w:rsid w:val="0082141A"/>
    <w:rsid w:val="00821D17"/>
    <w:rsid w:val="00822885"/>
    <w:rsid w:val="0082401F"/>
    <w:rsid w:val="008248ED"/>
    <w:rsid w:val="00830518"/>
    <w:rsid w:val="00841D6C"/>
    <w:rsid w:val="00843078"/>
    <w:rsid w:val="00844CE9"/>
    <w:rsid w:val="0084583F"/>
    <w:rsid w:val="00847188"/>
    <w:rsid w:val="008519DF"/>
    <w:rsid w:val="00852331"/>
    <w:rsid w:val="008561EC"/>
    <w:rsid w:val="00857871"/>
    <w:rsid w:val="00857E89"/>
    <w:rsid w:val="0086032E"/>
    <w:rsid w:val="008608BF"/>
    <w:rsid w:val="008619B6"/>
    <w:rsid w:val="00866667"/>
    <w:rsid w:val="00871449"/>
    <w:rsid w:val="00872254"/>
    <w:rsid w:val="00873B68"/>
    <w:rsid w:val="0087567B"/>
    <w:rsid w:val="008757CC"/>
    <w:rsid w:val="00875D02"/>
    <w:rsid w:val="008761EA"/>
    <w:rsid w:val="00883981"/>
    <w:rsid w:val="00885731"/>
    <w:rsid w:val="00885E74"/>
    <w:rsid w:val="008878D8"/>
    <w:rsid w:val="00890089"/>
    <w:rsid w:val="0089172D"/>
    <w:rsid w:val="0089538E"/>
    <w:rsid w:val="00896ED5"/>
    <w:rsid w:val="008A0468"/>
    <w:rsid w:val="008A1D44"/>
    <w:rsid w:val="008A4D01"/>
    <w:rsid w:val="008A5876"/>
    <w:rsid w:val="008A7A9D"/>
    <w:rsid w:val="008A7F7C"/>
    <w:rsid w:val="008B7238"/>
    <w:rsid w:val="008B7B8E"/>
    <w:rsid w:val="008C003A"/>
    <w:rsid w:val="008C330F"/>
    <w:rsid w:val="008C40C7"/>
    <w:rsid w:val="008C6A00"/>
    <w:rsid w:val="008D084B"/>
    <w:rsid w:val="008D084D"/>
    <w:rsid w:val="008D3CA4"/>
    <w:rsid w:val="008D4664"/>
    <w:rsid w:val="008D580A"/>
    <w:rsid w:val="008E02E8"/>
    <w:rsid w:val="008E2256"/>
    <w:rsid w:val="008E4379"/>
    <w:rsid w:val="008E4D4A"/>
    <w:rsid w:val="008E63F4"/>
    <w:rsid w:val="008E6D3A"/>
    <w:rsid w:val="008F1FA7"/>
    <w:rsid w:val="008F5410"/>
    <w:rsid w:val="008F7548"/>
    <w:rsid w:val="008F7C9C"/>
    <w:rsid w:val="009032E7"/>
    <w:rsid w:val="00903A91"/>
    <w:rsid w:val="00906A42"/>
    <w:rsid w:val="00910D8A"/>
    <w:rsid w:val="00913BFC"/>
    <w:rsid w:val="0091467F"/>
    <w:rsid w:val="00915D2E"/>
    <w:rsid w:val="00920F0A"/>
    <w:rsid w:val="00920F56"/>
    <w:rsid w:val="00922D49"/>
    <w:rsid w:val="00927B4E"/>
    <w:rsid w:val="009300BD"/>
    <w:rsid w:val="00930EBF"/>
    <w:rsid w:val="009329A9"/>
    <w:rsid w:val="00932C6A"/>
    <w:rsid w:val="00933ADF"/>
    <w:rsid w:val="00937B74"/>
    <w:rsid w:val="0094028E"/>
    <w:rsid w:val="00941A4B"/>
    <w:rsid w:val="00941BC5"/>
    <w:rsid w:val="00943046"/>
    <w:rsid w:val="0094408E"/>
    <w:rsid w:val="009500C1"/>
    <w:rsid w:val="00950E5D"/>
    <w:rsid w:val="0095260E"/>
    <w:rsid w:val="0095298F"/>
    <w:rsid w:val="00953222"/>
    <w:rsid w:val="0095356D"/>
    <w:rsid w:val="00953C24"/>
    <w:rsid w:val="00956C31"/>
    <w:rsid w:val="00957317"/>
    <w:rsid w:val="009602B7"/>
    <w:rsid w:val="009615DE"/>
    <w:rsid w:val="00962D5B"/>
    <w:rsid w:val="009655EE"/>
    <w:rsid w:val="00965628"/>
    <w:rsid w:val="0096742A"/>
    <w:rsid w:val="00970F72"/>
    <w:rsid w:val="00971428"/>
    <w:rsid w:val="00971719"/>
    <w:rsid w:val="00972C78"/>
    <w:rsid w:val="0097453B"/>
    <w:rsid w:val="00974CC3"/>
    <w:rsid w:val="00975150"/>
    <w:rsid w:val="00984E4A"/>
    <w:rsid w:val="009853A7"/>
    <w:rsid w:val="00993FF4"/>
    <w:rsid w:val="00994C26"/>
    <w:rsid w:val="009956B9"/>
    <w:rsid w:val="009A0481"/>
    <w:rsid w:val="009A1BB7"/>
    <w:rsid w:val="009A2F39"/>
    <w:rsid w:val="009A3E24"/>
    <w:rsid w:val="009A42AA"/>
    <w:rsid w:val="009A4B7C"/>
    <w:rsid w:val="009B1936"/>
    <w:rsid w:val="009B4D6C"/>
    <w:rsid w:val="009B5EED"/>
    <w:rsid w:val="009B6E70"/>
    <w:rsid w:val="009C2FDE"/>
    <w:rsid w:val="009C573D"/>
    <w:rsid w:val="009C60FA"/>
    <w:rsid w:val="009C6C14"/>
    <w:rsid w:val="009D02BE"/>
    <w:rsid w:val="009D266F"/>
    <w:rsid w:val="009D3C5D"/>
    <w:rsid w:val="009D5252"/>
    <w:rsid w:val="009D7537"/>
    <w:rsid w:val="009E21D7"/>
    <w:rsid w:val="009E2FA6"/>
    <w:rsid w:val="009E3E64"/>
    <w:rsid w:val="009F0815"/>
    <w:rsid w:val="009F1FBC"/>
    <w:rsid w:val="009F6776"/>
    <w:rsid w:val="009F67BA"/>
    <w:rsid w:val="009F75E5"/>
    <w:rsid w:val="009F76DA"/>
    <w:rsid w:val="00A0091E"/>
    <w:rsid w:val="00A02A6A"/>
    <w:rsid w:val="00A052FF"/>
    <w:rsid w:val="00A05B6C"/>
    <w:rsid w:val="00A07338"/>
    <w:rsid w:val="00A14519"/>
    <w:rsid w:val="00A204F9"/>
    <w:rsid w:val="00A21332"/>
    <w:rsid w:val="00A2567D"/>
    <w:rsid w:val="00A25B2C"/>
    <w:rsid w:val="00A26674"/>
    <w:rsid w:val="00A26893"/>
    <w:rsid w:val="00A32E11"/>
    <w:rsid w:val="00A35517"/>
    <w:rsid w:val="00A35BFD"/>
    <w:rsid w:val="00A37195"/>
    <w:rsid w:val="00A374D1"/>
    <w:rsid w:val="00A37849"/>
    <w:rsid w:val="00A4155E"/>
    <w:rsid w:val="00A44503"/>
    <w:rsid w:val="00A450F1"/>
    <w:rsid w:val="00A45785"/>
    <w:rsid w:val="00A459E2"/>
    <w:rsid w:val="00A535E4"/>
    <w:rsid w:val="00A537D2"/>
    <w:rsid w:val="00A57E30"/>
    <w:rsid w:val="00A602FC"/>
    <w:rsid w:val="00A60876"/>
    <w:rsid w:val="00A6187F"/>
    <w:rsid w:val="00A62A3E"/>
    <w:rsid w:val="00A6755D"/>
    <w:rsid w:val="00A67DE1"/>
    <w:rsid w:val="00A738DB"/>
    <w:rsid w:val="00A743BE"/>
    <w:rsid w:val="00A75654"/>
    <w:rsid w:val="00A757F7"/>
    <w:rsid w:val="00A76C21"/>
    <w:rsid w:val="00A83CED"/>
    <w:rsid w:val="00A8405A"/>
    <w:rsid w:val="00A875F2"/>
    <w:rsid w:val="00A938B6"/>
    <w:rsid w:val="00A97AF6"/>
    <w:rsid w:val="00AA1274"/>
    <w:rsid w:val="00AA544D"/>
    <w:rsid w:val="00AA5676"/>
    <w:rsid w:val="00AB0630"/>
    <w:rsid w:val="00AB13D9"/>
    <w:rsid w:val="00AB295C"/>
    <w:rsid w:val="00AB61CB"/>
    <w:rsid w:val="00AB66D4"/>
    <w:rsid w:val="00AB6BF3"/>
    <w:rsid w:val="00AB6EB7"/>
    <w:rsid w:val="00AB707A"/>
    <w:rsid w:val="00AB7509"/>
    <w:rsid w:val="00AC0CE2"/>
    <w:rsid w:val="00AC2720"/>
    <w:rsid w:val="00AD19FA"/>
    <w:rsid w:val="00AD2594"/>
    <w:rsid w:val="00AD453E"/>
    <w:rsid w:val="00AD4F84"/>
    <w:rsid w:val="00AD6D2B"/>
    <w:rsid w:val="00AE0A42"/>
    <w:rsid w:val="00AE23E6"/>
    <w:rsid w:val="00AE284C"/>
    <w:rsid w:val="00AE3C0E"/>
    <w:rsid w:val="00AE3F21"/>
    <w:rsid w:val="00AE53F3"/>
    <w:rsid w:val="00AF1195"/>
    <w:rsid w:val="00AF32EC"/>
    <w:rsid w:val="00AF3C88"/>
    <w:rsid w:val="00AF786D"/>
    <w:rsid w:val="00B01973"/>
    <w:rsid w:val="00B053A4"/>
    <w:rsid w:val="00B05595"/>
    <w:rsid w:val="00B05B54"/>
    <w:rsid w:val="00B072EB"/>
    <w:rsid w:val="00B135E5"/>
    <w:rsid w:val="00B14763"/>
    <w:rsid w:val="00B14C1C"/>
    <w:rsid w:val="00B1569D"/>
    <w:rsid w:val="00B17E1B"/>
    <w:rsid w:val="00B202A2"/>
    <w:rsid w:val="00B21D62"/>
    <w:rsid w:val="00B234CB"/>
    <w:rsid w:val="00B24BF0"/>
    <w:rsid w:val="00B25132"/>
    <w:rsid w:val="00B268E6"/>
    <w:rsid w:val="00B27BA2"/>
    <w:rsid w:val="00B31F94"/>
    <w:rsid w:val="00B32066"/>
    <w:rsid w:val="00B34064"/>
    <w:rsid w:val="00B34ECC"/>
    <w:rsid w:val="00B35030"/>
    <w:rsid w:val="00B37B52"/>
    <w:rsid w:val="00B417A6"/>
    <w:rsid w:val="00B44200"/>
    <w:rsid w:val="00B449CE"/>
    <w:rsid w:val="00B52CA0"/>
    <w:rsid w:val="00B52D42"/>
    <w:rsid w:val="00B53784"/>
    <w:rsid w:val="00B568CC"/>
    <w:rsid w:val="00B621F9"/>
    <w:rsid w:val="00B6292D"/>
    <w:rsid w:val="00B62C24"/>
    <w:rsid w:val="00B63D2D"/>
    <w:rsid w:val="00B660BA"/>
    <w:rsid w:val="00B676BB"/>
    <w:rsid w:val="00B705F3"/>
    <w:rsid w:val="00B71558"/>
    <w:rsid w:val="00B7323D"/>
    <w:rsid w:val="00B73B0E"/>
    <w:rsid w:val="00B74B2F"/>
    <w:rsid w:val="00B76D2E"/>
    <w:rsid w:val="00B771AB"/>
    <w:rsid w:val="00B80462"/>
    <w:rsid w:val="00B80A96"/>
    <w:rsid w:val="00B80F5A"/>
    <w:rsid w:val="00B815F0"/>
    <w:rsid w:val="00B865A1"/>
    <w:rsid w:val="00B86B19"/>
    <w:rsid w:val="00B90A33"/>
    <w:rsid w:val="00B97752"/>
    <w:rsid w:val="00BA0ADB"/>
    <w:rsid w:val="00BA34E5"/>
    <w:rsid w:val="00BA7206"/>
    <w:rsid w:val="00BB0102"/>
    <w:rsid w:val="00BB0A54"/>
    <w:rsid w:val="00BB2041"/>
    <w:rsid w:val="00BB4270"/>
    <w:rsid w:val="00BB7EEE"/>
    <w:rsid w:val="00BC2739"/>
    <w:rsid w:val="00BC2C93"/>
    <w:rsid w:val="00BC6ABC"/>
    <w:rsid w:val="00BD1AD9"/>
    <w:rsid w:val="00BD1F17"/>
    <w:rsid w:val="00BE30EE"/>
    <w:rsid w:val="00BE671F"/>
    <w:rsid w:val="00BF0ABB"/>
    <w:rsid w:val="00BF2CDC"/>
    <w:rsid w:val="00BF49BC"/>
    <w:rsid w:val="00C01123"/>
    <w:rsid w:val="00C0125C"/>
    <w:rsid w:val="00C0146B"/>
    <w:rsid w:val="00C01E21"/>
    <w:rsid w:val="00C034A1"/>
    <w:rsid w:val="00C03B0D"/>
    <w:rsid w:val="00C04818"/>
    <w:rsid w:val="00C05BCD"/>
    <w:rsid w:val="00C11313"/>
    <w:rsid w:val="00C1201D"/>
    <w:rsid w:val="00C1318E"/>
    <w:rsid w:val="00C14181"/>
    <w:rsid w:val="00C14A43"/>
    <w:rsid w:val="00C14AF0"/>
    <w:rsid w:val="00C15EF3"/>
    <w:rsid w:val="00C169F1"/>
    <w:rsid w:val="00C225A6"/>
    <w:rsid w:val="00C24FFE"/>
    <w:rsid w:val="00C2781E"/>
    <w:rsid w:val="00C30134"/>
    <w:rsid w:val="00C32024"/>
    <w:rsid w:val="00C41C38"/>
    <w:rsid w:val="00C42EAF"/>
    <w:rsid w:val="00C433CE"/>
    <w:rsid w:val="00C4607B"/>
    <w:rsid w:val="00C50F90"/>
    <w:rsid w:val="00C52D25"/>
    <w:rsid w:val="00C5370D"/>
    <w:rsid w:val="00C551E7"/>
    <w:rsid w:val="00C56EBB"/>
    <w:rsid w:val="00C61FAC"/>
    <w:rsid w:val="00C641FB"/>
    <w:rsid w:val="00C67D10"/>
    <w:rsid w:val="00C7116E"/>
    <w:rsid w:val="00C749F9"/>
    <w:rsid w:val="00C755C7"/>
    <w:rsid w:val="00C836CF"/>
    <w:rsid w:val="00C87900"/>
    <w:rsid w:val="00C906F0"/>
    <w:rsid w:val="00C915E7"/>
    <w:rsid w:val="00C93E33"/>
    <w:rsid w:val="00C94687"/>
    <w:rsid w:val="00C977C9"/>
    <w:rsid w:val="00C97CCE"/>
    <w:rsid w:val="00CA0603"/>
    <w:rsid w:val="00CA14EB"/>
    <w:rsid w:val="00CA5AA7"/>
    <w:rsid w:val="00CA5C1E"/>
    <w:rsid w:val="00CB0E7E"/>
    <w:rsid w:val="00CB1BDD"/>
    <w:rsid w:val="00CB3FB2"/>
    <w:rsid w:val="00CB6BE3"/>
    <w:rsid w:val="00CB7815"/>
    <w:rsid w:val="00CB78EE"/>
    <w:rsid w:val="00CD1BC6"/>
    <w:rsid w:val="00CD271E"/>
    <w:rsid w:val="00CD39CF"/>
    <w:rsid w:val="00CD5B37"/>
    <w:rsid w:val="00CE0089"/>
    <w:rsid w:val="00CE1207"/>
    <w:rsid w:val="00CE15FA"/>
    <w:rsid w:val="00CE19D4"/>
    <w:rsid w:val="00CF2060"/>
    <w:rsid w:val="00CF2A37"/>
    <w:rsid w:val="00CF3897"/>
    <w:rsid w:val="00D008CF"/>
    <w:rsid w:val="00D0182D"/>
    <w:rsid w:val="00D030D9"/>
    <w:rsid w:val="00D03F10"/>
    <w:rsid w:val="00D06238"/>
    <w:rsid w:val="00D177BE"/>
    <w:rsid w:val="00D2170B"/>
    <w:rsid w:val="00D21764"/>
    <w:rsid w:val="00D21A89"/>
    <w:rsid w:val="00D279E1"/>
    <w:rsid w:val="00D27E20"/>
    <w:rsid w:val="00D31AC6"/>
    <w:rsid w:val="00D32531"/>
    <w:rsid w:val="00D33E17"/>
    <w:rsid w:val="00D35847"/>
    <w:rsid w:val="00D4066C"/>
    <w:rsid w:val="00D41F67"/>
    <w:rsid w:val="00D42A8F"/>
    <w:rsid w:val="00D42D7E"/>
    <w:rsid w:val="00D4500B"/>
    <w:rsid w:val="00D459E1"/>
    <w:rsid w:val="00D47B39"/>
    <w:rsid w:val="00D501B9"/>
    <w:rsid w:val="00D523A3"/>
    <w:rsid w:val="00D54B66"/>
    <w:rsid w:val="00D54B86"/>
    <w:rsid w:val="00D56A76"/>
    <w:rsid w:val="00D5743D"/>
    <w:rsid w:val="00D6023C"/>
    <w:rsid w:val="00D60CBB"/>
    <w:rsid w:val="00D7352B"/>
    <w:rsid w:val="00D744AF"/>
    <w:rsid w:val="00D74820"/>
    <w:rsid w:val="00D7664E"/>
    <w:rsid w:val="00D76FA1"/>
    <w:rsid w:val="00D76FE9"/>
    <w:rsid w:val="00D81A96"/>
    <w:rsid w:val="00D82CC2"/>
    <w:rsid w:val="00D86304"/>
    <w:rsid w:val="00D87523"/>
    <w:rsid w:val="00D87768"/>
    <w:rsid w:val="00D902F5"/>
    <w:rsid w:val="00D905F5"/>
    <w:rsid w:val="00D90CCE"/>
    <w:rsid w:val="00D93410"/>
    <w:rsid w:val="00D93699"/>
    <w:rsid w:val="00D93E7F"/>
    <w:rsid w:val="00D96A85"/>
    <w:rsid w:val="00D97A4D"/>
    <w:rsid w:val="00DA03C7"/>
    <w:rsid w:val="00DA2F2A"/>
    <w:rsid w:val="00DA4863"/>
    <w:rsid w:val="00DA5DBF"/>
    <w:rsid w:val="00DA6C60"/>
    <w:rsid w:val="00DB29AF"/>
    <w:rsid w:val="00DB2A8A"/>
    <w:rsid w:val="00DC1C76"/>
    <w:rsid w:val="00DC1CFB"/>
    <w:rsid w:val="00DC2D67"/>
    <w:rsid w:val="00DC43A7"/>
    <w:rsid w:val="00DC5828"/>
    <w:rsid w:val="00DC6AC3"/>
    <w:rsid w:val="00DC7751"/>
    <w:rsid w:val="00DD0600"/>
    <w:rsid w:val="00DD083F"/>
    <w:rsid w:val="00DD22C3"/>
    <w:rsid w:val="00DD23D2"/>
    <w:rsid w:val="00DD25DC"/>
    <w:rsid w:val="00DD4ADC"/>
    <w:rsid w:val="00DD5457"/>
    <w:rsid w:val="00DD78FB"/>
    <w:rsid w:val="00DE0223"/>
    <w:rsid w:val="00DE1698"/>
    <w:rsid w:val="00DE17FC"/>
    <w:rsid w:val="00DE2704"/>
    <w:rsid w:val="00DE4085"/>
    <w:rsid w:val="00DE4D24"/>
    <w:rsid w:val="00DF05D1"/>
    <w:rsid w:val="00DF5054"/>
    <w:rsid w:val="00DF789D"/>
    <w:rsid w:val="00DF7BBA"/>
    <w:rsid w:val="00E0531B"/>
    <w:rsid w:val="00E05D18"/>
    <w:rsid w:val="00E10011"/>
    <w:rsid w:val="00E11312"/>
    <w:rsid w:val="00E13C28"/>
    <w:rsid w:val="00E16024"/>
    <w:rsid w:val="00E21989"/>
    <w:rsid w:val="00E24A4B"/>
    <w:rsid w:val="00E258E9"/>
    <w:rsid w:val="00E30D28"/>
    <w:rsid w:val="00E33F7A"/>
    <w:rsid w:val="00E34E9A"/>
    <w:rsid w:val="00E3523C"/>
    <w:rsid w:val="00E356FC"/>
    <w:rsid w:val="00E35C81"/>
    <w:rsid w:val="00E40A9F"/>
    <w:rsid w:val="00E40D5C"/>
    <w:rsid w:val="00E4393C"/>
    <w:rsid w:val="00E43DD9"/>
    <w:rsid w:val="00E45661"/>
    <w:rsid w:val="00E47E6C"/>
    <w:rsid w:val="00E54D5C"/>
    <w:rsid w:val="00E55525"/>
    <w:rsid w:val="00E55C54"/>
    <w:rsid w:val="00E62ED6"/>
    <w:rsid w:val="00E63707"/>
    <w:rsid w:val="00E64843"/>
    <w:rsid w:val="00E64AB2"/>
    <w:rsid w:val="00E66A06"/>
    <w:rsid w:val="00E73C4A"/>
    <w:rsid w:val="00E75A4A"/>
    <w:rsid w:val="00E828E6"/>
    <w:rsid w:val="00E84BFF"/>
    <w:rsid w:val="00E85CAF"/>
    <w:rsid w:val="00E8687C"/>
    <w:rsid w:val="00E903A8"/>
    <w:rsid w:val="00E938A4"/>
    <w:rsid w:val="00E93967"/>
    <w:rsid w:val="00E954A4"/>
    <w:rsid w:val="00EA3CE6"/>
    <w:rsid w:val="00EA6441"/>
    <w:rsid w:val="00EA6BBE"/>
    <w:rsid w:val="00EA6FBE"/>
    <w:rsid w:val="00EB0528"/>
    <w:rsid w:val="00EB1756"/>
    <w:rsid w:val="00EB1BCE"/>
    <w:rsid w:val="00EB28CB"/>
    <w:rsid w:val="00EB64EF"/>
    <w:rsid w:val="00EB7824"/>
    <w:rsid w:val="00EC0A79"/>
    <w:rsid w:val="00EC1A00"/>
    <w:rsid w:val="00EC440B"/>
    <w:rsid w:val="00EC4925"/>
    <w:rsid w:val="00EC58F1"/>
    <w:rsid w:val="00EC5F4B"/>
    <w:rsid w:val="00ED7A96"/>
    <w:rsid w:val="00EE6EC3"/>
    <w:rsid w:val="00EE729F"/>
    <w:rsid w:val="00EF0667"/>
    <w:rsid w:val="00EF2D2B"/>
    <w:rsid w:val="00EF44D2"/>
    <w:rsid w:val="00EF5AE2"/>
    <w:rsid w:val="00EF5AEB"/>
    <w:rsid w:val="00F00FF1"/>
    <w:rsid w:val="00F02344"/>
    <w:rsid w:val="00F02BD3"/>
    <w:rsid w:val="00F02C1B"/>
    <w:rsid w:val="00F02CE9"/>
    <w:rsid w:val="00F042B2"/>
    <w:rsid w:val="00F11AF5"/>
    <w:rsid w:val="00F144CA"/>
    <w:rsid w:val="00F156F3"/>
    <w:rsid w:val="00F15F65"/>
    <w:rsid w:val="00F16813"/>
    <w:rsid w:val="00F22C8D"/>
    <w:rsid w:val="00F2378A"/>
    <w:rsid w:val="00F2439E"/>
    <w:rsid w:val="00F26675"/>
    <w:rsid w:val="00F269C1"/>
    <w:rsid w:val="00F2763B"/>
    <w:rsid w:val="00F32E10"/>
    <w:rsid w:val="00F35F21"/>
    <w:rsid w:val="00F3756F"/>
    <w:rsid w:val="00F40380"/>
    <w:rsid w:val="00F42114"/>
    <w:rsid w:val="00F43E5F"/>
    <w:rsid w:val="00F46067"/>
    <w:rsid w:val="00F5280C"/>
    <w:rsid w:val="00F532AB"/>
    <w:rsid w:val="00F53B7C"/>
    <w:rsid w:val="00F546A8"/>
    <w:rsid w:val="00F546D5"/>
    <w:rsid w:val="00F56574"/>
    <w:rsid w:val="00F57B17"/>
    <w:rsid w:val="00F62A26"/>
    <w:rsid w:val="00F6306F"/>
    <w:rsid w:val="00F64B61"/>
    <w:rsid w:val="00F66244"/>
    <w:rsid w:val="00F6799C"/>
    <w:rsid w:val="00F74DA0"/>
    <w:rsid w:val="00F76FF9"/>
    <w:rsid w:val="00F77E6B"/>
    <w:rsid w:val="00F81346"/>
    <w:rsid w:val="00F82A82"/>
    <w:rsid w:val="00F82D49"/>
    <w:rsid w:val="00F83FDA"/>
    <w:rsid w:val="00F841DD"/>
    <w:rsid w:val="00F849D9"/>
    <w:rsid w:val="00F84E57"/>
    <w:rsid w:val="00F945A9"/>
    <w:rsid w:val="00F95B00"/>
    <w:rsid w:val="00FA666F"/>
    <w:rsid w:val="00FB17B0"/>
    <w:rsid w:val="00FB2018"/>
    <w:rsid w:val="00FB22E4"/>
    <w:rsid w:val="00FB242E"/>
    <w:rsid w:val="00FB4CE1"/>
    <w:rsid w:val="00FB7DB6"/>
    <w:rsid w:val="00FC2EEC"/>
    <w:rsid w:val="00FC5913"/>
    <w:rsid w:val="00FD3704"/>
    <w:rsid w:val="00FD5046"/>
    <w:rsid w:val="00FD541B"/>
    <w:rsid w:val="00FD5BDE"/>
    <w:rsid w:val="00FD7A1C"/>
    <w:rsid w:val="00FD7B77"/>
    <w:rsid w:val="00FE1D39"/>
    <w:rsid w:val="00FE4C07"/>
    <w:rsid w:val="00FF0ECB"/>
    <w:rsid w:val="00FF2084"/>
    <w:rsid w:val="00FF5264"/>
    <w:rsid w:val="00FF5A0E"/>
    <w:rsid w:val="00FF5B52"/>
    <w:rsid w:val="00FF6BDD"/>
    <w:rsid w:val="019555B7"/>
    <w:rsid w:val="01AB1CF3"/>
    <w:rsid w:val="01AD47D7"/>
    <w:rsid w:val="03E55A09"/>
    <w:rsid w:val="04936182"/>
    <w:rsid w:val="04AE702F"/>
    <w:rsid w:val="04D81655"/>
    <w:rsid w:val="052571DD"/>
    <w:rsid w:val="06725625"/>
    <w:rsid w:val="087236E0"/>
    <w:rsid w:val="097055C0"/>
    <w:rsid w:val="0B593965"/>
    <w:rsid w:val="0B696EAE"/>
    <w:rsid w:val="0D66734E"/>
    <w:rsid w:val="0F251620"/>
    <w:rsid w:val="10931F06"/>
    <w:rsid w:val="112C6C5F"/>
    <w:rsid w:val="11871850"/>
    <w:rsid w:val="11D055D2"/>
    <w:rsid w:val="12AF4D88"/>
    <w:rsid w:val="14047693"/>
    <w:rsid w:val="145E1366"/>
    <w:rsid w:val="14BD34ED"/>
    <w:rsid w:val="14F60BCF"/>
    <w:rsid w:val="150A7CCA"/>
    <w:rsid w:val="1564771E"/>
    <w:rsid w:val="1763266F"/>
    <w:rsid w:val="1A343A51"/>
    <w:rsid w:val="1AB22857"/>
    <w:rsid w:val="1B301EFE"/>
    <w:rsid w:val="1E1D296A"/>
    <w:rsid w:val="200B1D9C"/>
    <w:rsid w:val="20490A3F"/>
    <w:rsid w:val="20802F9A"/>
    <w:rsid w:val="216509E8"/>
    <w:rsid w:val="22C771C0"/>
    <w:rsid w:val="231D15DB"/>
    <w:rsid w:val="23842B84"/>
    <w:rsid w:val="23A6657A"/>
    <w:rsid w:val="248A2917"/>
    <w:rsid w:val="24C61E8F"/>
    <w:rsid w:val="25F75DAF"/>
    <w:rsid w:val="266252C9"/>
    <w:rsid w:val="268E47C0"/>
    <w:rsid w:val="26D33DD6"/>
    <w:rsid w:val="26F038FA"/>
    <w:rsid w:val="27292D3E"/>
    <w:rsid w:val="28003F70"/>
    <w:rsid w:val="2859699F"/>
    <w:rsid w:val="2A876E4E"/>
    <w:rsid w:val="2C060855"/>
    <w:rsid w:val="2C440CD8"/>
    <w:rsid w:val="2CDF2AF8"/>
    <w:rsid w:val="2D8C37E3"/>
    <w:rsid w:val="2EF51A2D"/>
    <w:rsid w:val="307A2077"/>
    <w:rsid w:val="30D216D1"/>
    <w:rsid w:val="320C43D2"/>
    <w:rsid w:val="32CA7947"/>
    <w:rsid w:val="331553C2"/>
    <w:rsid w:val="339E53B7"/>
    <w:rsid w:val="3491005C"/>
    <w:rsid w:val="34E047BF"/>
    <w:rsid w:val="36E50CF7"/>
    <w:rsid w:val="38381995"/>
    <w:rsid w:val="38E52EA3"/>
    <w:rsid w:val="39B62BA6"/>
    <w:rsid w:val="3AE14EF1"/>
    <w:rsid w:val="3B5C4771"/>
    <w:rsid w:val="3B751EC0"/>
    <w:rsid w:val="3BE60155"/>
    <w:rsid w:val="3C6E73B4"/>
    <w:rsid w:val="3D926592"/>
    <w:rsid w:val="40D6391C"/>
    <w:rsid w:val="416D0703"/>
    <w:rsid w:val="45CF2F21"/>
    <w:rsid w:val="466D239C"/>
    <w:rsid w:val="46C86DF5"/>
    <w:rsid w:val="47886ADA"/>
    <w:rsid w:val="49925D6D"/>
    <w:rsid w:val="4A9E53BC"/>
    <w:rsid w:val="4AD32780"/>
    <w:rsid w:val="4B0B49AF"/>
    <w:rsid w:val="4B395E70"/>
    <w:rsid w:val="4B3C3F80"/>
    <w:rsid w:val="4B920645"/>
    <w:rsid w:val="4CED1E42"/>
    <w:rsid w:val="4DF7604C"/>
    <w:rsid w:val="4E7217B3"/>
    <w:rsid w:val="4EE4473C"/>
    <w:rsid w:val="4EF05956"/>
    <w:rsid w:val="51056B91"/>
    <w:rsid w:val="536068AC"/>
    <w:rsid w:val="54384F49"/>
    <w:rsid w:val="546207C9"/>
    <w:rsid w:val="54DA3E5F"/>
    <w:rsid w:val="556A6327"/>
    <w:rsid w:val="55F16DB9"/>
    <w:rsid w:val="56DF2688"/>
    <w:rsid w:val="572F2077"/>
    <w:rsid w:val="57AC6E6C"/>
    <w:rsid w:val="57F52FFB"/>
    <w:rsid w:val="58AA05F0"/>
    <w:rsid w:val="5A126B5A"/>
    <w:rsid w:val="5AF30B66"/>
    <w:rsid w:val="5B4113B7"/>
    <w:rsid w:val="5B457066"/>
    <w:rsid w:val="5C862DC1"/>
    <w:rsid w:val="5DE674CF"/>
    <w:rsid w:val="5EAE0103"/>
    <w:rsid w:val="5ED72593"/>
    <w:rsid w:val="60F0558A"/>
    <w:rsid w:val="61456ACD"/>
    <w:rsid w:val="657F01FD"/>
    <w:rsid w:val="6606421B"/>
    <w:rsid w:val="68F44C6B"/>
    <w:rsid w:val="69042A67"/>
    <w:rsid w:val="6AA94FBA"/>
    <w:rsid w:val="6B422667"/>
    <w:rsid w:val="6B97545E"/>
    <w:rsid w:val="6C554255"/>
    <w:rsid w:val="6D187D75"/>
    <w:rsid w:val="6EA2522A"/>
    <w:rsid w:val="6EBC0EC1"/>
    <w:rsid w:val="70702FB4"/>
    <w:rsid w:val="70F047A3"/>
    <w:rsid w:val="71065AA9"/>
    <w:rsid w:val="7119186F"/>
    <w:rsid w:val="71997C09"/>
    <w:rsid w:val="73D250C3"/>
    <w:rsid w:val="75DF35A9"/>
    <w:rsid w:val="75FA5C93"/>
    <w:rsid w:val="76082B5F"/>
    <w:rsid w:val="782965DE"/>
    <w:rsid w:val="7898203D"/>
    <w:rsid w:val="794B0F64"/>
    <w:rsid w:val="79B15EB7"/>
    <w:rsid w:val="79F36615"/>
    <w:rsid w:val="7ABA06DF"/>
    <w:rsid w:val="7C246427"/>
    <w:rsid w:val="7C8A012C"/>
    <w:rsid w:val="7D5401FA"/>
    <w:rsid w:val="7D676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0"/>
    <w:pPr>
      <w:keepNext/>
      <w:jc w:val="center"/>
      <w:outlineLvl w:val="0"/>
    </w:pPr>
    <w:rPr>
      <w:b/>
      <w:bCs/>
      <w:kern w:val="0"/>
      <w:sz w:val="28"/>
    </w:rPr>
  </w:style>
  <w:style w:type="paragraph" w:styleId="5">
    <w:name w:val="heading 2"/>
    <w:basedOn w:val="1"/>
    <w:next w:val="1"/>
    <w:link w:val="39"/>
    <w:qFormat/>
    <w:uiPriority w:val="0"/>
    <w:pPr>
      <w:keepNext/>
      <w:keepLines/>
      <w:widowControl/>
      <w:spacing w:beforeLines="50" w:line="480" w:lineRule="exact"/>
      <w:outlineLvl w:val="1"/>
    </w:pPr>
    <w:rPr>
      <w:rFonts w:eastAsia="黑体"/>
      <w:bCs/>
      <w:color w:val="000000"/>
      <w:kern w:val="0"/>
      <w:sz w:val="30"/>
      <w:szCs w:val="32"/>
    </w:rPr>
  </w:style>
  <w:style w:type="paragraph" w:styleId="6">
    <w:name w:val="heading 3"/>
    <w:basedOn w:val="1"/>
    <w:next w:val="1"/>
    <w:link w:val="58"/>
    <w:qFormat/>
    <w:uiPriority w:val="0"/>
    <w:pPr>
      <w:keepNext/>
      <w:keepLines/>
      <w:spacing w:before="260" w:after="260" w:line="416" w:lineRule="auto"/>
      <w:outlineLvl w:val="2"/>
    </w:pPr>
    <w:rPr>
      <w:b/>
      <w:bCs/>
      <w:kern w:val="0"/>
      <w:sz w:val="32"/>
      <w:szCs w:val="32"/>
    </w:rPr>
  </w:style>
  <w:style w:type="paragraph" w:styleId="7">
    <w:name w:val="heading 4"/>
    <w:basedOn w:val="1"/>
    <w:next w:val="1"/>
    <w:link w:val="40"/>
    <w:qFormat/>
    <w:uiPriority w:val="0"/>
    <w:pPr>
      <w:keepNext/>
      <w:keepLines/>
      <w:widowControl/>
      <w:spacing w:beforeLines="50" w:line="480" w:lineRule="exact"/>
      <w:outlineLvl w:val="3"/>
    </w:pPr>
    <w:rPr>
      <w:rFonts w:eastAsia="黑体"/>
      <w:bCs/>
      <w:color w:val="000000"/>
      <w:kern w:val="0"/>
      <w:sz w:val="28"/>
      <w:szCs w:val="28"/>
    </w:rPr>
  </w:style>
  <w:style w:type="paragraph" w:styleId="8">
    <w:name w:val="heading 5"/>
    <w:basedOn w:val="1"/>
    <w:next w:val="1"/>
    <w:link w:val="59"/>
    <w:qFormat/>
    <w:uiPriority w:val="0"/>
    <w:pPr>
      <w:keepNext/>
      <w:keepLines/>
      <w:widowControl/>
      <w:spacing w:before="280" w:after="290" w:line="376" w:lineRule="auto"/>
      <w:outlineLvl w:val="4"/>
    </w:pPr>
    <w:rPr>
      <w:b/>
      <w:bCs/>
      <w:color w:val="000000"/>
      <w:kern w:val="0"/>
      <w:sz w:val="28"/>
      <w:szCs w:val="28"/>
    </w:rPr>
  </w:style>
  <w:style w:type="paragraph" w:styleId="9">
    <w:name w:val="heading 6"/>
    <w:basedOn w:val="1"/>
    <w:next w:val="1"/>
    <w:link w:val="60"/>
    <w:qFormat/>
    <w:uiPriority w:val="0"/>
    <w:pPr>
      <w:keepNext/>
      <w:keepLines/>
      <w:widowControl/>
      <w:spacing w:before="240" w:after="64" w:line="320" w:lineRule="auto"/>
      <w:outlineLvl w:val="5"/>
    </w:pPr>
    <w:rPr>
      <w:rFonts w:ascii="Arial" w:hAnsi="Arial" w:eastAsia="黑体"/>
      <w:b/>
      <w:bCs/>
      <w:color w:val="000000"/>
      <w:kern w:val="0"/>
      <w:sz w:val="24"/>
    </w:rPr>
  </w:style>
  <w:style w:type="paragraph" w:styleId="10">
    <w:name w:val="heading 7"/>
    <w:basedOn w:val="1"/>
    <w:next w:val="1"/>
    <w:link w:val="61"/>
    <w:qFormat/>
    <w:uiPriority w:val="0"/>
    <w:pPr>
      <w:keepNext/>
      <w:keepLines/>
      <w:widowControl/>
      <w:spacing w:before="240" w:after="64" w:line="320" w:lineRule="auto"/>
      <w:outlineLvl w:val="6"/>
    </w:pPr>
    <w:rPr>
      <w:b/>
      <w:bCs/>
      <w:color w:val="000000"/>
      <w:kern w:val="0"/>
      <w:sz w:val="24"/>
    </w:rPr>
  </w:style>
  <w:style w:type="paragraph" w:styleId="11">
    <w:name w:val="heading 8"/>
    <w:basedOn w:val="1"/>
    <w:next w:val="1"/>
    <w:link w:val="62"/>
    <w:qFormat/>
    <w:uiPriority w:val="0"/>
    <w:pPr>
      <w:keepNext/>
      <w:keepLines/>
      <w:widowControl/>
      <w:spacing w:before="240" w:after="64" w:line="320" w:lineRule="auto"/>
      <w:outlineLvl w:val="7"/>
    </w:pPr>
    <w:rPr>
      <w:rFonts w:ascii="Arial" w:hAnsi="Arial" w:eastAsia="黑体"/>
      <w:color w:val="000000"/>
      <w:kern w:val="0"/>
      <w:sz w:val="24"/>
    </w:rPr>
  </w:style>
  <w:style w:type="paragraph" w:styleId="12">
    <w:name w:val="heading 9"/>
    <w:basedOn w:val="1"/>
    <w:next w:val="1"/>
    <w:link w:val="63"/>
    <w:qFormat/>
    <w:uiPriority w:val="0"/>
    <w:pPr>
      <w:keepNext/>
      <w:keepLines/>
      <w:widowControl/>
      <w:spacing w:beforeLines="50" w:after="64" w:line="400" w:lineRule="exact"/>
      <w:jc w:val="center"/>
      <w:outlineLvl w:val="8"/>
    </w:pPr>
    <w:rPr>
      <w:color w:val="000000"/>
      <w:kern w:val="0"/>
      <w:sz w:val="24"/>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link w:val="109"/>
    <w:qFormat/>
    <w:uiPriority w:val="0"/>
    <w:pPr>
      <w:widowControl w:val="0"/>
      <w:autoSpaceDE w:val="0"/>
      <w:autoSpaceDN w:val="0"/>
    </w:pPr>
    <w:rPr>
      <w:rFonts w:ascii="Arial" w:hAnsi="Times New Roman" w:eastAsia="宋体" w:cs="Times New Roman"/>
      <w:color w:val="000000"/>
      <w:sz w:val="24"/>
      <w:lang w:val="en-US" w:eastAsia="zh-CN" w:bidi="ar-SA"/>
    </w:rPr>
  </w:style>
  <w:style w:type="paragraph" w:customStyle="1" w:styleId="3">
    <w:name w:val="Char Char Char Char Char Char1 Char Char Char Char"/>
    <w:basedOn w:val="1"/>
    <w:next w:val="1"/>
    <w:qFormat/>
    <w:uiPriority w:val="0"/>
    <w:pPr>
      <w:spacing w:line="360" w:lineRule="auto"/>
      <w:ind w:firstLine="200"/>
    </w:pPr>
  </w:style>
  <w:style w:type="paragraph" w:styleId="13">
    <w:name w:val="Normal Indent"/>
    <w:basedOn w:val="1"/>
    <w:link w:val="53"/>
    <w:qFormat/>
    <w:uiPriority w:val="0"/>
    <w:pPr>
      <w:adjustRightInd w:val="0"/>
      <w:spacing w:line="320" w:lineRule="atLeast"/>
      <w:ind w:firstLine="420"/>
      <w:textAlignment w:val="baseline"/>
    </w:pPr>
    <w:rPr>
      <w:kern w:val="0"/>
      <w:sz w:val="20"/>
      <w:szCs w:val="20"/>
    </w:rPr>
  </w:style>
  <w:style w:type="paragraph" w:styleId="14">
    <w:name w:val="Document Map"/>
    <w:basedOn w:val="1"/>
    <w:link w:val="67"/>
    <w:semiHidden/>
    <w:qFormat/>
    <w:uiPriority w:val="0"/>
    <w:pPr>
      <w:shd w:val="clear" w:color="auto" w:fill="000080"/>
    </w:pPr>
    <w:rPr>
      <w:kern w:val="0"/>
      <w:sz w:val="20"/>
    </w:rPr>
  </w:style>
  <w:style w:type="paragraph" w:styleId="15">
    <w:name w:val="annotation text"/>
    <w:basedOn w:val="1"/>
    <w:link w:val="97"/>
    <w:qFormat/>
    <w:uiPriority w:val="0"/>
    <w:pPr>
      <w:jc w:val="left"/>
    </w:pPr>
    <w:rPr>
      <w:kern w:val="0"/>
      <w:sz w:val="20"/>
    </w:rPr>
  </w:style>
  <w:style w:type="paragraph" w:styleId="16">
    <w:name w:val="Body Text"/>
    <w:basedOn w:val="1"/>
    <w:link w:val="56"/>
    <w:unhideWhenUsed/>
    <w:qFormat/>
    <w:uiPriority w:val="99"/>
    <w:pPr>
      <w:spacing w:after="120"/>
    </w:pPr>
    <w:rPr>
      <w:kern w:val="0"/>
      <w:sz w:val="20"/>
    </w:rPr>
  </w:style>
  <w:style w:type="paragraph" w:styleId="17">
    <w:name w:val="Body Text Indent"/>
    <w:basedOn w:val="1"/>
    <w:next w:val="1"/>
    <w:link w:val="65"/>
    <w:qFormat/>
    <w:uiPriority w:val="0"/>
    <w:pPr>
      <w:spacing w:line="320" w:lineRule="exact"/>
      <w:ind w:firstLine="113"/>
      <w:jc w:val="center"/>
    </w:pPr>
    <w:rPr>
      <w:rFonts w:ascii="宋体" w:hAnsi="宋体"/>
      <w:kern w:val="0"/>
      <w:sz w:val="24"/>
    </w:rPr>
  </w:style>
  <w:style w:type="paragraph" w:styleId="18">
    <w:name w:val="Plain Text"/>
    <w:basedOn w:val="1"/>
    <w:next w:val="1"/>
    <w:link w:val="50"/>
    <w:qFormat/>
    <w:uiPriority w:val="0"/>
    <w:pPr>
      <w:spacing w:line="440" w:lineRule="exact"/>
      <w:ind w:firstLine="200" w:firstLineChars="200"/>
    </w:pPr>
    <w:rPr>
      <w:rFonts w:ascii="宋体" w:hAnsi="Courier New" w:eastAsia="仿宋_GB2312"/>
      <w:kern w:val="0"/>
      <w:sz w:val="28"/>
      <w:szCs w:val="21"/>
    </w:rPr>
  </w:style>
  <w:style w:type="paragraph" w:styleId="19">
    <w:name w:val="Date"/>
    <w:basedOn w:val="1"/>
    <w:next w:val="1"/>
    <w:link w:val="83"/>
    <w:qFormat/>
    <w:uiPriority w:val="0"/>
    <w:pPr>
      <w:ind w:left="100" w:leftChars="2500"/>
    </w:pPr>
    <w:rPr>
      <w:kern w:val="0"/>
      <w:sz w:val="20"/>
    </w:rPr>
  </w:style>
  <w:style w:type="paragraph" w:styleId="20">
    <w:name w:val="Body Text Indent 2"/>
    <w:basedOn w:val="1"/>
    <w:link w:val="49"/>
    <w:qFormat/>
    <w:uiPriority w:val="0"/>
    <w:pPr>
      <w:ind w:firstLine="645"/>
    </w:pPr>
    <w:rPr>
      <w:kern w:val="0"/>
      <w:sz w:val="28"/>
    </w:rPr>
  </w:style>
  <w:style w:type="paragraph" w:styleId="21">
    <w:name w:val="endnote text"/>
    <w:basedOn w:val="1"/>
    <w:link w:val="70"/>
    <w:semiHidden/>
    <w:qFormat/>
    <w:uiPriority w:val="0"/>
    <w:pPr>
      <w:snapToGrid w:val="0"/>
      <w:jc w:val="left"/>
    </w:pPr>
    <w:rPr>
      <w:kern w:val="0"/>
      <w:sz w:val="20"/>
    </w:rPr>
  </w:style>
  <w:style w:type="paragraph" w:styleId="22">
    <w:name w:val="Balloon Text"/>
    <w:basedOn w:val="1"/>
    <w:link w:val="55"/>
    <w:unhideWhenUsed/>
    <w:qFormat/>
    <w:uiPriority w:val="0"/>
    <w:rPr>
      <w:kern w:val="0"/>
      <w:sz w:val="18"/>
      <w:szCs w:val="18"/>
    </w:rPr>
  </w:style>
  <w:style w:type="paragraph" w:styleId="23">
    <w:name w:val="footer"/>
    <w:basedOn w:val="1"/>
    <w:link w:val="42"/>
    <w:unhideWhenUsed/>
    <w:qFormat/>
    <w:uiPriority w:val="99"/>
    <w:pPr>
      <w:tabs>
        <w:tab w:val="center" w:pos="4153"/>
        <w:tab w:val="right" w:pos="8306"/>
      </w:tabs>
      <w:snapToGrid w:val="0"/>
      <w:jc w:val="left"/>
    </w:pPr>
    <w:rPr>
      <w:rFonts w:ascii="Calibri" w:hAnsi="Calibri"/>
      <w:kern w:val="0"/>
      <w:sz w:val="18"/>
      <w:szCs w:val="18"/>
    </w:rPr>
  </w:style>
  <w:style w:type="paragraph" w:styleId="24">
    <w:name w:val="header"/>
    <w:basedOn w:val="1"/>
    <w:link w:val="41"/>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5">
    <w:name w:val="List"/>
    <w:basedOn w:val="1"/>
    <w:qFormat/>
    <w:uiPriority w:val="0"/>
    <w:pPr>
      <w:spacing w:line="320" w:lineRule="exact"/>
      <w:jc w:val="center"/>
    </w:pPr>
    <w:rPr>
      <w:sz w:val="20"/>
    </w:rPr>
  </w:style>
  <w:style w:type="paragraph" w:styleId="26">
    <w:name w:val="Body Text Indent 3"/>
    <w:basedOn w:val="1"/>
    <w:link w:val="66"/>
    <w:qFormat/>
    <w:uiPriority w:val="0"/>
    <w:pPr>
      <w:ind w:firstLine="549" w:firstLineChars="200"/>
    </w:pPr>
    <w:rPr>
      <w:rFonts w:ascii="宋体" w:hAnsi="宋体"/>
      <w:kern w:val="0"/>
      <w:sz w:val="28"/>
    </w:rPr>
  </w:style>
  <w:style w:type="paragraph" w:styleId="27">
    <w:name w:val="Body Text 2"/>
    <w:basedOn w:val="1"/>
    <w:link w:val="64"/>
    <w:qFormat/>
    <w:uiPriority w:val="0"/>
    <w:pPr>
      <w:jc w:val="center"/>
    </w:pPr>
    <w:rPr>
      <w:b/>
      <w:bCs/>
      <w:w w:val="150"/>
      <w:kern w:val="0"/>
      <w:sz w:val="84"/>
    </w:rPr>
  </w:style>
  <w:style w:type="paragraph" w:styleId="2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9">
    <w:name w:val="annotation subject"/>
    <w:basedOn w:val="15"/>
    <w:next w:val="15"/>
    <w:link w:val="116"/>
    <w:semiHidden/>
    <w:unhideWhenUsed/>
    <w:qFormat/>
    <w:uiPriority w:val="99"/>
    <w:rPr>
      <w:b/>
      <w:bCs/>
      <w:kern w:val="2"/>
      <w:sz w:val="21"/>
    </w:rPr>
  </w:style>
  <w:style w:type="paragraph" w:styleId="30">
    <w:name w:val="Body Text First Indent"/>
    <w:basedOn w:val="16"/>
    <w:link w:val="96"/>
    <w:qFormat/>
    <w:uiPriority w:val="0"/>
    <w:pPr>
      <w:ind w:firstLine="420" w:firstLineChars="100"/>
    </w:pPr>
  </w:style>
  <w:style w:type="paragraph" w:styleId="31">
    <w:name w:val="Body Text First Indent 2"/>
    <w:basedOn w:val="1"/>
    <w:next w:val="1"/>
    <w:qFormat/>
    <w:uiPriority w:val="0"/>
    <w:pPr>
      <w:spacing w:line="500" w:lineRule="exact"/>
      <w:ind w:firstLine="480" w:firstLineChars="200"/>
    </w:pPr>
    <w:rPr>
      <w:rFonts w:ascii="Calibri" w:hAnsi="Calibri"/>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endnote reference"/>
    <w:semiHidden/>
    <w:qFormat/>
    <w:uiPriority w:val="0"/>
    <w:rPr>
      <w:vertAlign w:val="superscript"/>
    </w:rPr>
  </w:style>
  <w:style w:type="character" w:styleId="36">
    <w:name w:val="page number"/>
    <w:basedOn w:val="34"/>
    <w:qFormat/>
    <w:uiPriority w:val="0"/>
  </w:style>
  <w:style w:type="character" w:styleId="37">
    <w:name w:val="Hyperlink"/>
    <w:qFormat/>
    <w:uiPriority w:val="0"/>
    <w:rPr>
      <w:color w:val="0000FF"/>
      <w:u w:val="single"/>
    </w:rPr>
  </w:style>
  <w:style w:type="character" w:styleId="38">
    <w:name w:val="annotation reference"/>
    <w:basedOn w:val="34"/>
    <w:semiHidden/>
    <w:qFormat/>
    <w:uiPriority w:val="0"/>
    <w:rPr>
      <w:sz w:val="21"/>
      <w:szCs w:val="21"/>
    </w:rPr>
  </w:style>
  <w:style w:type="character" w:customStyle="1" w:styleId="39">
    <w:name w:val="标题 2 字符"/>
    <w:link w:val="5"/>
    <w:qFormat/>
    <w:uiPriority w:val="0"/>
    <w:rPr>
      <w:rFonts w:ascii="Times New Roman" w:hAnsi="Times New Roman" w:eastAsia="黑体" w:cs="Times New Roman"/>
      <w:bCs/>
      <w:color w:val="000000"/>
      <w:sz w:val="30"/>
      <w:szCs w:val="32"/>
    </w:rPr>
  </w:style>
  <w:style w:type="character" w:customStyle="1" w:styleId="40">
    <w:name w:val="标题 4 字符"/>
    <w:link w:val="7"/>
    <w:qFormat/>
    <w:uiPriority w:val="0"/>
    <w:rPr>
      <w:rFonts w:ascii="Times New Roman" w:hAnsi="Times New Roman" w:eastAsia="黑体" w:cs="Times New Roman"/>
      <w:bCs/>
      <w:color w:val="000000"/>
      <w:sz w:val="28"/>
      <w:szCs w:val="28"/>
    </w:rPr>
  </w:style>
  <w:style w:type="character" w:customStyle="1" w:styleId="41">
    <w:name w:val="页眉 字符"/>
    <w:link w:val="24"/>
    <w:qFormat/>
    <w:uiPriority w:val="0"/>
    <w:rPr>
      <w:sz w:val="18"/>
      <w:szCs w:val="18"/>
    </w:rPr>
  </w:style>
  <w:style w:type="character" w:customStyle="1" w:styleId="42">
    <w:name w:val="页脚 字符"/>
    <w:link w:val="23"/>
    <w:qFormat/>
    <w:uiPriority w:val="99"/>
    <w:rPr>
      <w:sz w:val="18"/>
      <w:szCs w:val="18"/>
    </w:rPr>
  </w:style>
  <w:style w:type="paragraph" w:customStyle="1" w:styleId="43">
    <w:name w:val="xl4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4">
    <w:name w:val="00表内字体"/>
    <w:basedOn w:val="1"/>
    <w:qFormat/>
    <w:uiPriority w:val="0"/>
  </w:style>
  <w:style w:type="paragraph" w:customStyle="1" w:styleId="45">
    <w:name w:val="正文文本 21"/>
    <w:basedOn w:val="1"/>
    <w:qFormat/>
    <w:uiPriority w:val="99"/>
    <w:pPr>
      <w:spacing w:after="120" w:line="480" w:lineRule="auto"/>
    </w:pPr>
    <w:rPr>
      <w:szCs w:val="21"/>
    </w:rPr>
  </w:style>
  <w:style w:type="character" w:customStyle="1" w:styleId="46">
    <w:name w:val="zi1"/>
    <w:qFormat/>
    <w:uiPriority w:val="0"/>
    <w:rPr>
      <w:color w:val="003366"/>
      <w:sz w:val="18"/>
      <w:szCs w:val="18"/>
    </w:rPr>
  </w:style>
  <w:style w:type="paragraph" w:customStyle="1" w:styleId="47">
    <w:name w:val="00正文"/>
    <w:basedOn w:val="1"/>
    <w:qFormat/>
    <w:uiPriority w:val="0"/>
    <w:pPr>
      <w:spacing w:line="480" w:lineRule="exact"/>
      <w:ind w:firstLine="200" w:firstLineChars="200"/>
    </w:pPr>
    <w:rPr>
      <w:sz w:val="24"/>
      <w:szCs w:val="22"/>
    </w:rPr>
  </w:style>
  <w:style w:type="paragraph" w:customStyle="1" w:styleId="48">
    <w:name w:val="00表图注释"/>
    <w:basedOn w:val="1"/>
    <w:qFormat/>
    <w:uiPriority w:val="0"/>
    <w:pPr>
      <w:spacing w:line="480" w:lineRule="exact"/>
      <w:jc w:val="center"/>
    </w:pPr>
    <w:rPr>
      <w:rFonts w:eastAsia="黑体"/>
      <w:sz w:val="24"/>
      <w:szCs w:val="22"/>
    </w:rPr>
  </w:style>
  <w:style w:type="character" w:customStyle="1" w:styleId="49">
    <w:name w:val="正文文本缩进 2 字符"/>
    <w:link w:val="20"/>
    <w:qFormat/>
    <w:uiPriority w:val="0"/>
    <w:rPr>
      <w:rFonts w:ascii="Times New Roman" w:hAnsi="Times New Roman" w:eastAsia="宋体" w:cs="Times New Roman"/>
      <w:sz w:val="28"/>
      <w:szCs w:val="24"/>
    </w:rPr>
  </w:style>
  <w:style w:type="character" w:customStyle="1" w:styleId="50">
    <w:name w:val="纯文本 字符"/>
    <w:link w:val="18"/>
    <w:qFormat/>
    <w:uiPriority w:val="0"/>
    <w:rPr>
      <w:rFonts w:ascii="宋体" w:hAnsi="Courier New" w:eastAsia="仿宋_GB2312" w:cs="Times New Roman"/>
      <w:sz w:val="28"/>
      <w:szCs w:val="21"/>
    </w:rPr>
  </w:style>
  <w:style w:type="paragraph" w:customStyle="1" w:styleId="51">
    <w:name w:val="已有表格"/>
    <w:basedOn w:val="1"/>
    <w:qFormat/>
    <w:uiPriority w:val="0"/>
    <w:pPr>
      <w:adjustRightInd w:val="0"/>
      <w:spacing w:before="40" w:after="40"/>
      <w:jc w:val="center"/>
      <w:textAlignment w:val="baseline"/>
    </w:pPr>
    <w:rPr>
      <w:b/>
      <w:kern w:val="0"/>
      <w:sz w:val="24"/>
      <w:szCs w:val="20"/>
    </w:rPr>
  </w:style>
  <w:style w:type="paragraph" w:styleId="52">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正文缩进 字符"/>
    <w:link w:val="13"/>
    <w:qFormat/>
    <w:uiPriority w:val="0"/>
    <w:rPr>
      <w:rFonts w:ascii="Times New Roman" w:hAnsi="Times New Roman" w:eastAsia="宋体" w:cs="Times New Roman"/>
      <w:kern w:val="0"/>
      <w:szCs w:val="20"/>
    </w:rPr>
  </w:style>
  <w:style w:type="paragraph" w:customStyle="1" w:styleId="54">
    <w:name w:val="y4"/>
    <w:basedOn w:val="1"/>
    <w:qFormat/>
    <w:uiPriority w:val="0"/>
    <w:pPr>
      <w:widowControl/>
      <w:spacing w:before="100" w:beforeAutospacing="1" w:after="100" w:afterAutospacing="1"/>
      <w:jc w:val="left"/>
    </w:pPr>
    <w:rPr>
      <w:rFonts w:ascii="宋体" w:hAnsi="宋体"/>
      <w:kern w:val="0"/>
      <w:sz w:val="24"/>
    </w:rPr>
  </w:style>
  <w:style w:type="character" w:customStyle="1" w:styleId="55">
    <w:name w:val="批注框文本 字符"/>
    <w:link w:val="22"/>
    <w:qFormat/>
    <w:uiPriority w:val="0"/>
    <w:rPr>
      <w:rFonts w:ascii="Times New Roman" w:hAnsi="Times New Roman" w:eastAsia="宋体" w:cs="Times New Roman"/>
      <w:sz w:val="18"/>
      <w:szCs w:val="18"/>
    </w:rPr>
  </w:style>
  <w:style w:type="character" w:customStyle="1" w:styleId="56">
    <w:name w:val="正文文本 字符"/>
    <w:link w:val="16"/>
    <w:semiHidden/>
    <w:qFormat/>
    <w:uiPriority w:val="99"/>
    <w:rPr>
      <w:rFonts w:ascii="Times New Roman" w:hAnsi="Times New Roman" w:eastAsia="宋体" w:cs="Times New Roman"/>
      <w:szCs w:val="24"/>
    </w:rPr>
  </w:style>
  <w:style w:type="character" w:customStyle="1" w:styleId="57">
    <w:name w:val="标题 1 字符"/>
    <w:link w:val="4"/>
    <w:qFormat/>
    <w:uiPriority w:val="0"/>
    <w:rPr>
      <w:rFonts w:ascii="Times New Roman" w:hAnsi="Times New Roman" w:eastAsia="宋体" w:cs="Times New Roman"/>
      <w:b/>
      <w:bCs/>
      <w:sz w:val="28"/>
      <w:szCs w:val="24"/>
    </w:rPr>
  </w:style>
  <w:style w:type="character" w:customStyle="1" w:styleId="58">
    <w:name w:val="标题 3 字符"/>
    <w:link w:val="6"/>
    <w:qFormat/>
    <w:uiPriority w:val="0"/>
    <w:rPr>
      <w:rFonts w:ascii="Times New Roman" w:hAnsi="Times New Roman" w:eastAsia="宋体" w:cs="Times New Roman"/>
      <w:b/>
      <w:bCs/>
      <w:sz w:val="32"/>
      <w:szCs w:val="32"/>
    </w:rPr>
  </w:style>
  <w:style w:type="character" w:customStyle="1" w:styleId="59">
    <w:name w:val="标题 5 字符"/>
    <w:link w:val="8"/>
    <w:qFormat/>
    <w:uiPriority w:val="0"/>
    <w:rPr>
      <w:rFonts w:ascii="Times New Roman" w:hAnsi="Times New Roman" w:eastAsia="宋体" w:cs="Times New Roman"/>
      <w:b/>
      <w:bCs/>
      <w:color w:val="000000"/>
      <w:sz w:val="28"/>
      <w:szCs w:val="28"/>
    </w:rPr>
  </w:style>
  <w:style w:type="character" w:customStyle="1" w:styleId="60">
    <w:name w:val="标题 6 字符"/>
    <w:link w:val="9"/>
    <w:qFormat/>
    <w:uiPriority w:val="0"/>
    <w:rPr>
      <w:rFonts w:ascii="Arial" w:hAnsi="Arial" w:eastAsia="黑体" w:cs="Times New Roman"/>
      <w:b/>
      <w:bCs/>
      <w:color w:val="000000"/>
      <w:sz w:val="24"/>
      <w:szCs w:val="24"/>
    </w:rPr>
  </w:style>
  <w:style w:type="character" w:customStyle="1" w:styleId="61">
    <w:name w:val="标题 7 字符"/>
    <w:link w:val="10"/>
    <w:qFormat/>
    <w:uiPriority w:val="0"/>
    <w:rPr>
      <w:rFonts w:ascii="Times New Roman" w:hAnsi="Times New Roman" w:eastAsia="宋体" w:cs="Times New Roman"/>
      <w:b/>
      <w:bCs/>
      <w:color w:val="000000"/>
      <w:sz w:val="24"/>
      <w:szCs w:val="24"/>
    </w:rPr>
  </w:style>
  <w:style w:type="character" w:customStyle="1" w:styleId="62">
    <w:name w:val="标题 8 字符"/>
    <w:link w:val="11"/>
    <w:qFormat/>
    <w:uiPriority w:val="0"/>
    <w:rPr>
      <w:rFonts w:ascii="Arial" w:hAnsi="Arial" w:eastAsia="黑体" w:cs="Times New Roman"/>
      <w:color w:val="000000"/>
      <w:sz w:val="24"/>
      <w:szCs w:val="24"/>
    </w:rPr>
  </w:style>
  <w:style w:type="character" w:customStyle="1" w:styleId="63">
    <w:name w:val="标题 9 字符"/>
    <w:link w:val="12"/>
    <w:qFormat/>
    <w:uiPriority w:val="0"/>
    <w:rPr>
      <w:rFonts w:ascii="Times New Roman" w:hAnsi="Times New Roman" w:eastAsia="宋体" w:cs="Times New Roman"/>
      <w:color w:val="000000"/>
      <w:sz w:val="24"/>
      <w:szCs w:val="21"/>
    </w:rPr>
  </w:style>
  <w:style w:type="character" w:customStyle="1" w:styleId="64">
    <w:name w:val="正文文本 2 字符"/>
    <w:link w:val="27"/>
    <w:qFormat/>
    <w:uiPriority w:val="0"/>
    <w:rPr>
      <w:rFonts w:ascii="Times New Roman" w:hAnsi="Times New Roman" w:eastAsia="宋体" w:cs="Times New Roman"/>
      <w:b/>
      <w:bCs/>
      <w:w w:val="150"/>
      <w:sz w:val="84"/>
      <w:szCs w:val="24"/>
    </w:rPr>
  </w:style>
  <w:style w:type="character" w:customStyle="1" w:styleId="65">
    <w:name w:val="正文文本缩进 字符"/>
    <w:link w:val="17"/>
    <w:qFormat/>
    <w:uiPriority w:val="0"/>
    <w:rPr>
      <w:rFonts w:ascii="宋体" w:hAnsi="宋体" w:eastAsia="宋体" w:cs="Times New Roman"/>
      <w:sz w:val="24"/>
      <w:szCs w:val="24"/>
    </w:rPr>
  </w:style>
  <w:style w:type="character" w:customStyle="1" w:styleId="66">
    <w:name w:val="正文文本缩进 3 字符"/>
    <w:link w:val="26"/>
    <w:qFormat/>
    <w:uiPriority w:val="0"/>
    <w:rPr>
      <w:rFonts w:ascii="宋体" w:hAnsi="宋体" w:eastAsia="宋体" w:cs="Times New Roman"/>
      <w:sz w:val="28"/>
      <w:szCs w:val="24"/>
    </w:rPr>
  </w:style>
  <w:style w:type="character" w:customStyle="1" w:styleId="67">
    <w:name w:val="文档结构图 字符"/>
    <w:link w:val="14"/>
    <w:semiHidden/>
    <w:qFormat/>
    <w:uiPriority w:val="0"/>
    <w:rPr>
      <w:rFonts w:ascii="Times New Roman" w:hAnsi="Times New Roman" w:eastAsia="宋体" w:cs="Times New Roman"/>
      <w:szCs w:val="24"/>
      <w:shd w:val="clear" w:color="auto" w:fill="000080"/>
    </w:rPr>
  </w:style>
  <w:style w:type="character" w:customStyle="1" w:styleId="68">
    <w:name w:val="sm1"/>
    <w:qFormat/>
    <w:uiPriority w:val="0"/>
    <w:rPr>
      <w:sz w:val="18"/>
      <w:szCs w:val="18"/>
    </w:rPr>
  </w:style>
  <w:style w:type="paragraph" w:customStyle="1" w:styleId="69">
    <w:name w:val="正文（首行缩进两字）"/>
    <w:basedOn w:val="1"/>
    <w:qFormat/>
    <w:uiPriority w:val="0"/>
    <w:pPr>
      <w:widowControl/>
      <w:adjustRightInd w:val="0"/>
      <w:snapToGrid w:val="0"/>
      <w:spacing w:line="300" w:lineRule="auto"/>
      <w:ind w:firstLine="200" w:firstLineChars="200"/>
      <w:jc w:val="left"/>
    </w:pPr>
    <w:rPr>
      <w:rFonts w:ascii="宋体" w:hAnsi="宋体"/>
      <w:kern w:val="0"/>
      <w:sz w:val="30"/>
    </w:rPr>
  </w:style>
  <w:style w:type="character" w:customStyle="1" w:styleId="70">
    <w:name w:val="尾注文本 字符"/>
    <w:link w:val="21"/>
    <w:semiHidden/>
    <w:qFormat/>
    <w:uiPriority w:val="0"/>
    <w:rPr>
      <w:rFonts w:ascii="Times New Roman" w:hAnsi="Times New Roman" w:eastAsia="宋体" w:cs="Times New Roman"/>
      <w:szCs w:val="24"/>
    </w:rPr>
  </w:style>
  <w:style w:type="character" w:customStyle="1" w:styleId="71">
    <w:name w:val="wenzi1"/>
    <w:qFormat/>
    <w:uiPriority w:val="0"/>
    <w:rPr>
      <w:color w:val="000000"/>
      <w:sz w:val="18"/>
      <w:szCs w:val="18"/>
      <w:u w:val="none"/>
    </w:rPr>
  </w:style>
  <w:style w:type="character" w:customStyle="1" w:styleId="72">
    <w:name w:val="a1"/>
    <w:qFormat/>
    <w:uiPriority w:val="0"/>
    <w:rPr>
      <w:color w:val="000000"/>
    </w:rPr>
  </w:style>
  <w:style w:type="paragraph" w:customStyle="1" w:styleId="7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4">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7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7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7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8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8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82">
    <w:name w:val="a"/>
    <w:basedOn w:val="1"/>
    <w:qFormat/>
    <w:uiPriority w:val="0"/>
    <w:pPr>
      <w:widowControl/>
      <w:spacing w:before="100" w:beforeAutospacing="1" w:after="100" w:afterAutospacing="1" w:line="432" w:lineRule="auto"/>
      <w:jc w:val="left"/>
    </w:pPr>
    <w:rPr>
      <w:rFonts w:ascii="宋体" w:hAnsi="宋体" w:cs="宋体"/>
      <w:color w:val="000000"/>
      <w:kern w:val="0"/>
      <w:sz w:val="24"/>
    </w:rPr>
  </w:style>
  <w:style w:type="character" w:customStyle="1" w:styleId="83">
    <w:name w:val="日期 字符"/>
    <w:link w:val="19"/>
    <w:qFormat/>
    <w:uiPriority w:val="0"/>
    <w:rPr>
      <w:rFonts w:ascii="Times New Roman" w:hAnsi="Times New Roman" w:eastAsia="宋体" w:cs="Times New Roman"/>
      <w:szCs w:val="24"/>
    </w:rPr>
  </w:style>
  <w:style w:type="paragraph" w:customStyle="1" w:styleId="84">
    <w:name w:val="Char"/>
    <w:basedOn w:val="1"/>
    <w:qFormat/>
    <w:uiPriority w:val="0"/>
    <w:pPr>
      <w:snapToGrid w:val="0"/>
      <w:spacing w:line="360" w:lineRule="auto"/>
      <w:ind w:firstLine="529" w:firstLineChars="200"/>
    </w:pPr>
    <w:rPr>
      <w:rFonts w:ascii="宋体" w:hAnsi="宋体"/>
      <w:b/>
    </w:rPr>
  </w:style>
  <w:style w:type="paragraph" w:customStyle="1" w:styleId="85">
    <w:name w:val="段落"/>
    <w:basedOn w:val="1"/>
    <w:qFormat/>
    <w:uiPriority w:val="0"/>
    <w:pPr>
      <w:spacing w:line="500" w:lineRule="exact"/>
      <w:ind w:firstLine="200" w:firstLineChars="200"/>
    </w:pPr>
    <w:rPr>
      <w:spacing w:val="10"/>
      <w:sz w:val="28"/>
      <w:szCs w:val="20"/>
    </w:rPr>
  </w:style>
  <w:style w:type="paragraph" w:customStyle="1" w:styleId="86">
    <w:name w:val="段落1"/>
    <w:basedOn w:val="1"/>
    <w:qFormat/>
    <w:uiPriority w:val="0"/>
    <w:pPr>
      <w:spacing w:line="480" w:lineRule="exact"/>
      <w:ind w:firstLine="200" w:firstLineChars="200"/>
    </w:pPr>
    <w:rPr>
      <w:rFonts w:eastAsia="楷体_GB2312"/>
      <w:spacing w:val="6"/>
      <w:sz w:val="28"/>
    </w:rPr>
  </w:style>
  <w:style w:type="paragraph" w:customStyle="1" w:styleId="87">
    <w:name w:val="表格文字"/>
    <w:basedOn w:val="1"/>
    <w:next w:val="1"/>
    <w:link w:val="105"/>
    <w:qFormat/>
    <w:uiPriority w:val="0"/>
    <w:pPr>
      <w:tabs>
        <w:tab w:val="left" w:pos="2880"/>
        <w:tab w:val="left" w:pos="7380"/>
      </w:tabs>
      <w:snapToGrid w:val="0"/>
      <w:spacing w:line="240" w:lineRule="atLeast"/>
      <w:ind w:right="22"/>
      <w:jc w:val="center"/>
    </w:pPr>
    <w:rPr>
      <w:kern w:val="0"/>
      <w:position w:val="-26"/>
      <w:sz w:val="20"/>
      <w:szCs w:val="20"/>
    </w:rPr>
  </w:style>
  <w:style w:type="paragraph" w:customStyle="1" w:styleId="88">
    <w:name w:val="山焦报告正文"/>
    <w:basedOn w:val="1"/>
    <w:qFormat/>
    <w:uiPriority w:val="0"/>
    <w:pPr>
      <w:adjustRightInd w:val="0"/>
      <w:snapToGrid w:val="0"/>
      <w:spacing w:beforeLines="25" w:line="440" w:lineRule="exact"/>
      <w:ind w:firstLine="200" w:firstLineChars="200"/>
    </w:pPr>
    <w:rPr>
      <w:color w:val="000000"/>
      <w:sz w:val="24"/>
    </w:rPr>
  </w:style>
  <w:style w:type="paragraph" w:customStyle="1" w:styleId="89">
    <w:name w:val="默认段落字体 Para Char"/>
    <w:basedOn w:val="1"/>
    <w:next w:val="1"/>
    <w:qFormat/>
    <w:uiPriority w:val="0"/>
    <w:pPr>
      <w:keepNext/>
      <w:keepLines/>
      <w:widowControl/>
      <w:adjustRightInd w:val="0"/>
      <w:spacing w:before="360" w:after="480" w:line="360" w:lineRule="auto"/>
      <w:ind w:firstLine="200" w:firstLineChars="200"/>
      <w:jc w:val="left"/>
      <w:textAlignment w:val="baseline"/>
      <w:outlineLvl w:val="1"/>
    </w:pPr>
    <w:rPr>
      <w:rFonts w:ascii="宋体" w:hAnsi="宋体" w:cs="宋体"/>
      <w:b/>
      <w:bCs/>
      <w:kern w:val="0"/>
      <w:sz w:val="30"/>
      <w:szCs w:val="28"/>
    </w:rPr>
  </w:style>
  <w:style w:type="paragraph" w:customStyle="1" w:styleId="90">
    <w:name w:val="表格中"/>
    <w:basedOn w:val="1"/>
    <w:qFormat/>
    <w:uiPriority w:val="0"/>
    <w:pPr>
      <w:spacing w:line="280" w:lineRule="exact"/>
      <w:jc w:val="center"/>
    </w:pPr>
    <w:rPr>
      <w:rFonts w:ascii="宋体"/>
      <w:color w:val="000000"/>
      <w:sz w:val="18"/>
      <w:szCs w:val="30"/>
      <w:lang w:bidi="he-IL"/>
    </w:rPr>
  </w:style>
  <w:style w:type="paragraph" w:customStyle="1" w:styleId="91">
    <w:name w:val="表头"/>
    <w:basedOn w:val="1"/>
    <w:qFormat/>
    <w:uiPriority w:val="0"/>
    <w:pPr>
      <w:spacing w:line="360" w:lineRule="auto"/>
      <w:jc w:val="center"/>
    </w:pPr>
    <w:rPr>
      <w:rFonts w:ascii="黑体" w:eastAsia="黑体"/>
      <w:color w:val="000000"/>
      <w:szCs w:val="20"/>
      <w:lang w:bidi="he-IL"/>
    </w:rPr>
  </w:style>
  <w:style w:type="paragraph" w:customStyle="1" w:styleId="92">
    <w:name w:val="正文1"/>
    <w:basedOn w:val="1"/>
    <w:link w:val="93"/>
    <w:qFormat/>
    <w:uiPriority w:val="0"/>
    <w:pPr>
      <w:spacing w:beforeLines="25" w:afterLines="25" w:line="360" w:lineRule="auto"/>
      <w:ind w:firstLine="480" w:firstLineChars="200"/>
    </w:pPr>
    <w:rPr>
      <w:kern w:val="0"/>
      <w:sz w:val="24"/>
    </w:rPr>
  </w:style>
  <w:style w:type="character" w:customStyle="1" w:styleId="93">
    <w:name w:val="正文1 Char"/>
    <w:link w:val="92"/>
    <w:qFormat/>
    <w:uiPriority w:val="0"/>
    <w:rPr>
      <w:rFonts w:ascii="Times New Roman" w:hAnsi="Times New Roman" w:eastAsia="宋体" w:cs="Times New Roman"/>
      <w:sz w:val="24"/>
      <w:szCs w:val="24"/>
    </w:rPr>
  </w:style>
  <w:style w:type="paragraph" w:customStyle="1" w:styleId="94">
    <w:name w:val="2 Char"/>
    <w:basedOn w:val="1"/>
    <w:qFormat/>
    <w:uiPriority w:val="0"/>
    <w:pPr>
      <w:adjustRightInd w:val="0"/>
      <w:spacing w:line="360" w:lineRule="auto"/>
      <w:textAlignment w:val="baseline"/>
    </w:pPr>
    <w:rPr>
      <w:kern w:val="0"/>
      <w:sz w:val="24"/>
      <w:szCs w:val="20"/>
    </w:rPr>
  </w:style>
  <w:style w:type="paragraph" w:customStyle="1" w:styleId="95">
    <w:name w:val="默认段落字体 Para Char Char Char Char"/>
    <w:basedOn w:val="1"/>
    <w:qFormat/>
    <w:uiPriority w:val="0"/>
  </w:style>
  <w:style w:type="character" w:customStyle="1" w:styleId="96">
    <w:name w:val="正文文本首行缩进 字符"/>
    <w:basedOn w:val="56"/>
    <w:link w:val="30"/>
    <w:qFormat/>
    <w:uiPriority w:val="0"/>
    <w:rPr>
      <w:rFonts w:ascii="Times New Roman" w:hAnsi="Times New Roman" w:eastAsia="宋体" w:cs="Times New Roman"/>
      <w:szCs w:val="24"/>
    </w:rPr>
  </w:style>
  <w:style w:type="character" w:customStyle="1" w:styleId="97">
    <w:name w:val="批注文字 字符"/>
    <w:link w:val="15"/>
    <w:qFormat/>
    <w:uiPriority w:val="0"/>
    <w:rPr>
      <w:rFonts w:ascii="Times New Roman" w:hAnsi="Times New Roman" w:eastAsia="宋体" w:cs="Times New Roman"/>
      <w:szCs w:val="24"/>
    </w:rPr>
  </w:style>
  <w:style w:type="paragraph" w:customStyle="1" w:styleId="98">
    <w:name w:val="表格题头"/>
    <w:basedOn w:val="1"/>
    <w:qFormat/>
    <w:uiPriority w:val="0"/>
    <w:rPr>
      <w:rFonts w:ascii="宋体" w:hAnsi="宋体"/>
      <w:b/>
      <w:szCs w:val="21"/>
    </w:rPr>
  </w:style>
  <w:style w:type="paragraph" w:customStyle="1" w:styleId="99">
    <w:name w:val="表格"/>
    <w:basedOn w:val="1"/>
    <w:link w:val="100"/>
    <w:qFormat/>
    <w:uiPriority w:val="0"/>
    <w:pPr>
      <w:autoSpaceDE w:val="0"/>
      <w:autoSpaceDN w:val="0"/>
      <w:adjustRightInd w:val="0"/>
      <w:spacing w:line="320" w:lineRule="exact"/>
    </w:pPr>
    <w:rPr>
      <w:rFonts w:ascii="宋体"/>
      <w:color w:val="000000"/>
      <w:spacing w:val="-20"/>
      <w:kern w:val="0"/>
      <w:sz w:val="24"/>
      <w:szCs w:val="20"/>
    </w:rPr>
  </w:style>
  <w:style w:type="character" w:customStyle="1" w:styleId="100">
    <w:name w:val="表格 Char"/>
    <w:link w:val="99"/>
    <w:qFormat/>
    <w:uiPriority w:val="0"/>
    <w:rPr>
      <w:rFonts w:ascii="宋体" w:hAnsi="Times New Roman" w:eastAsia="宋体" w:cs="Times New Roman"/>
      <w:color w:val="000000"/>
      <w:spacing w:val="-20"/>
      <w:kern w:val="0"/>
      <w:sz w:val="24"/>
      <w:szCs w:val="20"/>
    </w:rPr>
  </w:style>
  <w:style w:type="paragraph" w:customStyle="1" w:styleId="101">
    <w:name w:val="表格内容5号"/>
    <w:link w:val="102"/>
    <w:qFormat/>
    <w:uiPriority w:val="0"/>
    <w:pPr>
      <w:widowControl w:val="0"/>
      <w:snapToGrid w:val="0"/>
      <w:spacing w:line="240" w:lineRule="atLeast"/>
      <w:jc w:val="center"/>
    </w:pPr>
    <w:rPr>
      <w:rFonts w:ascii="Times New Roman" w:hAnsi="Times New Roman" w:eastAsia="宋体" w:cs="Times New Roman"/>
      <w:szCs w:val="24"/>
      <w:lang w:val="en-US" w:eastAsia="zh-CN" w:bidi="ar-SA"/>
    </w:rPr>
  </w:style>
  <w:style w:type="character" w:customStyle="1" w:styleId="102">
    <w:name w:val="表格内容5号 Char"/>
    <w:link w:val="101"/>
    <w:qFormat/>
    <w:uiPriority w:val="0"/>
    <w:rPr>
      <w:rFonts w:ascii="Times New Roman" w:hAnsi="Times New Roman"/>
      <w:szCs w:val="24"/>
      <w:lang w:bidi="ar-SA"/>
    </w:rPr>
  </w:style>
  <w:style w:type="paragraph" w:customStyle="1" w:styleId="103">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4">
    <w:name w:val="正文文本缩进 21"/>
    <w:basedOn w:val="1"/>
    <w:qFormat/>
    <w:uiPriority w:val="0"/>
    <w:pPr>
      <w:spacing w:after="120" w:line="480" w:lineRule="auto"/>
      <w:ind w:left="420" w:leftChars="200"/>
    </w:pPr>
    <w:rPr>
      <w:szCs w:val="20"/>
    </w:rPr>
  </w:style>
  <w:style w:type="character" w:customStyle="1" w:styleId="105">
    <w:name w:val="表格文字 Char Char"/>
    <w:link w:val="87"/>
    <w:qFormat/>
    <w:uiPriority w:val="0"/>
    <w:rPr>
      <w:rFonts w:ascii="Times New Roman" w:hAnsi="Times New Roman" w:eastAsia="宋体" w:cs="Times New Roman"/>
      <w:position w:val="-26"/>
      <w:szCs w:val="20"/>
    </w:rPr>
  </w:style>
  <w:style w:type="paragraph" w:styleId="106">
    <w:name w:val="List Paragraph"/>
    <w:basedOn w:val="1"/>
    <w:qFormat/>
    <w:uiPriority w:val="34"/>
    <w:pPr>
      <w:ind w:firstLine="420" w:firstLineChars="200"/>
    </w:pPr>
    <w:rPr>
      <w:szCs w:val="20"/>
    </w:rPr>
  </w:style>
  <w:style w:type="paragraph" w:customStyle="1" w:styleId="107">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108">
    <w:name w:val="样式 首行缩进:  0.99 厘米"/>
    <w:basedOn w:val="1"/>
    <w:qFormat/>
    <w:uiPriority w:val="0"/>
    <w:pPr>
      <w:ind w:firstLine="560"/>
    </w:pPr>
    <w:rPr>
      <w:rFonts w:cs="宋体"/>
      <w:kern w:val="0"/>
      <w:sz w:val="28"/>
      <w:szCs w:val="20"/>
    </w:rPr>
  </w:style>
  <w:style w:type="character" w:customStyle="1" w:styleId="109">
    <w:name w:val="Default Char"/>
    <w:link w:val="2"/>
    <w:qFormat/>
    <w:locked/>
    <w:uiPriority w:val="0"/>
    <w:rPr>
      <w:rFonts w:ascii="Arial" w:hAnsi="Times New Roman"/>
      <w:color w:val="000000"/>
      <w:sz w:val="24"/>
      <w:lang w:bidi="ar-SA"/>
    </w:rPr>
  </w:style>
  <w:style w:type="paragraph" w:customStyle="1" w:styleId="110">
    <w:name w:val="0正文"/>
    <w:basedOn w:val="1"/>
    <w:next w:val="1"/>
    <w:qFormat/>
    <w:uiPriority w:val="39"/>
    <w:pPr>
      <w:spacing w:line="300" w:lineRule="auto"/>
      <w:ind w:firstLine="480" w:firstLineChars="200"/>
    </w:pPr>
    <w:rPr>
      <w:rFonts w:cs="宋体"/>
      <w:kern w:val="0"/>
      <w:sz w:val="24"/>
      <w:szCs w:val="20"/>
    </w:rPr>
  </w:style>
  <w:style w:type="paragraph" w:customStyle="1" w:styleId="111">
    <w:name w:val="我的正文"/>
    <w:basedOn w:val="1"/>
    <w:qFormat/>
    <w:uiPriority w:val="0"/>
    <w:pPr>
      <w:spacing w:line="460" w:lineRule="exact"/>
      <w:ind w:firstLine="482"/>
    </w:pPr>
    <w:rPr>
      <w:sz w:val="24"/>
    </w:rPr>
  </w:style>
  <w:style w:type="paragraph" w:customStyle="1" w:styleId="112">
    <w:name w:val="WPS Plain"/>
    <w:qFormat/>
    <w:uiPriority w:val="0"/>
    <w:rPr>
      <w:rFonts w:ascii="Times New Roman" w:hAnsi="Times New Roman" w:eastAsia="宋体" w:cs="Times New Roman"/>
      <w:lang w:val="en-US" w:eastAsia="zh-CN" w:bidi="ar-SA"/>
    </w:rPr>
  </w:style>
  <w:style w:type="paragraph" w:customStyle="1" w:styleId="113">
    <w:name w:val="我的标题3"/>
    <w:basedOn w:val="6"/>
    <w:qFormat/>
    <w:uiPriority w:val="0"/>
    <w:pPr>
      <w:adjustRightInd w:val="0"/>
      <w:snapToGrid w:val="0"/>
      <w:spacing w:before="60" w:after="60" w:line="460" w:lineRule="exact"/>
    </w:pPr>
    <w:rPr>
      <w:rFonts w:eastAsia="黑体"/>
      <w:b w:val="0"/>
      <w:sz w:val="28"/>
      <w:szCs w:val="20"/>
    </w:rPr>
  </w:style>
  <w:style w:type="paragraph" w:customStyle="1" w:styleId="114">
    <w:name w:val="00标题2"/>
    <w:basedOn w:val="1"/>
    <w:qFormat/>
    <w:uiPriority w:val="0"/>
    <w:pPr>
      <w:spacing w:line="480" w:lineRule="exact"/>
      <w:jc w:val="left"/>
    </w:pPr>
    <w:rPr>
      <w:rFonts w:eastAsia="黑体"/>
      <w:sz w:val="24"/>
    </w:rPr>
  </w:style>
  <w:style w:type="paragraph" w:customStyle="1" w:styleId="115">
    <w:name w:val="居中"/>
    <w:basedOn w:val="1"/>
    <w:qFormat/>
    <w:uiPriority w:val="0"/>
    <w:pPr>
      <w:jc w:val="center"/>
    </w:pPr>
    <w:rPr>
      <w:rFonts w:cs="宋体"/>
      <w:szCs w:val="20"/>
    </w:rPr>
  </w:style>
  <w:style w:type="character" w:customStyle="1" w:styleId="116">
    <w:name w:val="批注主题 字符"/>
    <w:basedOn w:val="97"/>
    <w:link w:val="29"/>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wmf"/><Relationship Id="rId21" Type="http://schemas.openxmlformats.org/officeDocument/2006/relationships/image" Target="media/image3.wmf"/><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93</Pages>
  <Words>38401</Words>
  <Characters>44568</Characters>
  <Lines>362</Lines>
  <Paragraphs>102</Paragraphs>
  <TotalTime>49</TotalTime>
  <ScaleCrop>false</ScaleCrop>
  <LinksUpToDate>false</LinksUpToDate>
  <CharactersWithSpaces>45280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2018-01-29T12:10:00Z</dcterms:created>
  <dc:creator>深度联盟http:/sdwm.org</dc:creator>
  <cp:lastModifiedBy>海洋图文15635053669</cp:lastModifiedBy>
  <cp:lastPrinted>2021-03-22T01:43:00Z</cp:lastPrinted>
  <dcterms:modified xsi:type="dcterms:W3CDTF">2021-03-30T05:00:30Z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491A3B9C1EE643B2BDAA480FA244BA71</vt:lpwstr>
  </property>
</Properties>
</file>