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宁武县山洪灾害防御应急预案</w:t>
      </w:r>
    </w:p>
    <w:p>
      <w:pPr>
        <w:widowControl w:val="0"/>
        <w:wordWrap/>
        <w:spacing w:before="0" w:beforeLines="0" w:after="0" w:afterLines="0" w:line="580" w:lineRule="exact"/>
        <w:ind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541655</wp:posOffset>
                </wp:positionV>
                <wp:extent cx="9525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5pt;margin-top:42.65pt;height:0.05pt;width:0.75pt;z-index:251660288;mso-width-relative:page;mso-height-relative:page;" filled="f" stroked="t" coordsize="21600,21600" o:gfxdata="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cz9J2AAAAAkBAAAPAAAAAAAAAAEAIAAAACIAAABkcnMvZG93bnJldi54bWxQSwEC&#10;FAAUAAAACACHTuJACTTxmfQBAADlAwAADgAAAAAAAAABACAAAAAnAQAAZHJzL2Uyb0RvYy54bWxQ&#10;SwUGAAAAAAYABgBZAQAAjQUAAAAA&#10;">
                <v:path arrowok="t"/>
                <v:fill on="f" focussize="0,0"/>
                <v:stroke color="#5B9BD5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为切实做好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仿宋" w:cs="Times New Roman"/>
          <w:sz w:val="32"/>
          <w:szCs w:val="32"/>
        </w:rPr>
        <w:t>灾害防御工作，及时、妥善地处置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山洪灾害突发</w:t>
      </w:r>
      <w:r>
        <w:rPr>
          <w:rFonts w:hint="default" w:ascii="Times New Roman" w:hAnsi="Times New Roman" w:eastAsia="仿宋" w:cs="Times New Roman"/>
          <w:sz w:val="32"/>
          <w:szCs w:val="32"/>
        </w:rPr>
        <w:t>险情，最大限度地减轻损失，进一步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增强各级、各部门对山洪灾害防御的</w:t>
      </w:r>
      <w:r>
        <w:rPr>
          <w:rFonts w:hint="default" w:ascii="Times New Roman" w:hAnsi="Times New Roman" w:eastAsia="仿宋" w:cs="Times New Roman"/>
          <w:sz w:val="32"/>
          <w:szCs w:val="32"/>
        </w:rPr>
        <w:t>责任意识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明确工作职责和任务，高效、有序地做好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山洪灾害</w:t>
      </w:r>
      <w:r>
        <w:rPr>
          <w:rFonts w:hint="default" w:ascii="Times New Roman" w:hAnsi="Times New Roman" w:eastAsia="仿宋" w:cs="Times New Roman"/>
          <w:sz w:val="32"/>
          <w:szCs w:val="32"/>
        </w:rPr>
        <w:t>防御工作，根据国家有关法律、法规、文件精神，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仿宋" w:cs="Times New Roman"/>
          <w:sz w:val="32"/>
          <w:szCs w:val="32"/>
        </w:rPr>
        <w:t>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322079084"/>
      <w:bookmarkStart w:id="1" w:name="_Toc33417428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1．基本情况</w:t>
      </w:r>
      <w:bookmarkEnd w:id="0"/>
      <w:bookmarkEnd w:id="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" w:name="_Toc273908015"/>
      <w:bookmarkStart w:id="3" w:name="_Toc322079085"/>
      <w:bookmarkStart w:id="4" w:name="_Toc334174281"/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1.1  自然情况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1.1.1  地理位置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z w:val="32"/>
          <w:szCs w:val="32"/>
        </w:rPr>
        <w:t>县位于山西省北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</w:rPr>
        <w:t>部，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地理坐标为东经111°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′～112°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′，北纬38°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′～39°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之间，县境北以内长城为边，东北与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朔州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相邻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西北以黄花岭为界，与神池县接壤，西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以荷叶坪山，芦芽山为屏，与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五寨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、岢岚相望，南邻与静乐县相衔，东南以云中山与忻州分界，东部与原平市连通。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县境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南北长约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km，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东西宽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km，总面积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1987.7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km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，总人口约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13.6万人。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1.1.2  河流分布情况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z w:val="32"/>
          <w:szCs w:val="32"/>
        </w:rPr>
        <w:t>县境内主要河流有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汾</w:t>
      </w:r>
      <w:r>
        <w:rPr>
          <w:rFonts w:hint="default" w:ascii="Times New Roman" w:hAnsi="Times New Roman" w:eastAsia="仿宋" w:cs="Times New Roman"/>
          <w:sz w:val="32"/>
          <w:szCs w:val="32"/>
        </w:rPr>
        <w:t>河、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仿宋" w:cs="Times New Roman"/>
          <w:sz w:val="32"/>
          <w:szCs w:val="32"/>
        </w:rPr>
        <w:t>河、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恢</w:t>
      </w:r>
      <w:r>
        <w:rPr>
          <w:rFonts w:hint="default" w:ascii="Times New Roman" w:hAnsi="Times New Roman" w:eastAsia="仿宋" w:cs="Times New Roman"/>
          <w:sz w:val="32"/>
          <w:szCs w:val="32"/>
        </w:rPr>
        <w:t>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条河流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汾河、洪河</w:t>
      </w:r>
      <w:r>
        <w:rPr>
          <w:rFonts w:hint="default" w:ascii="Times New Roman" w:hAnsi="Times New Roman" w:eastAsia="仿宋" w:cs="Times New Roman"/>
          <w:sz w:val="32"/>
          <w:szCs w:val="32"/>
        </w:rPr>
        <w:t>属黄河水系，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恢</w:t>
      </w:r>
      <w:r>
        <w:rPr>
          <w:rFonts w:hint="default" w:ascii="Times New Roman" w:hAnsi="Times New Roman" w:eastAsia="仿宋" w:cs="Times New Roman"/>
          <w:sz w:val="32"/>
          <w:szCs w:val="32"/>
        </w:rPr>
        <w:t>河属海河水系。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汾</w:t>
      </w:r>
      <w:r>
        <w:rPr>
          <w:rFonts w:hint="default" w:ascii="Times New Roman" w:hAnsi="Times New Roman" w:eastAsia="仿宋" w:cs="Times New Roman"/>
          <w:sz w:val="32"/>
          <w:szCs w:val="32"/>
        </w:rPr>
        <w:t>河流域，发源于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东寨镇雷鸣寺</w:t>
      </w:r>
      <w:r>
        <w:rPr>
          <w:rFonts w:hint="default" w:ascii="Times New Roman" w:hAnsi="Times New Roman" w:eastAsia="仿宋" w:cs="Times New Roman"/>
          <w:sz w:val="32"/>
          <w:szCs w:val="32"/>
        </w:rPr>
        <w:t>，由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" w:cs="Times New Roman"/>
          <w:sz w:val="32"/>
          <w:szCs w:val="32"/>
        </w:rPr>
        <w:t>北向南横贯境内南部东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寨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宁化镇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石家庄</w:t>
      </w:r>
      <w:r>
        <w:rPr>
          <w:rFonts w:hint="default" w:ascii="Times New Roman" w:hAnsi="Times New Roman" w:eastAsia="仿宋" w:cs="Times New Roman"/>
          <w:sz w:val="32"/>
          <w:szCs w:val="32"/>
        </w:rPr>
        <w:t>3乡镇。从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吴家湾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潘</w:t>
      </w:r>
      <w:r>
        <w:rPr>
          <w:rFonts w:hint="default" w:ascii="Times New Roman" w:hAnsi="Times New Roman" w:eastAsia="仿宋" w:cs="Times New Roman"/>
          <w:sz w:val="32"/>
          <w:szCs w:val="32"/>
        </w:rPr>
        <w:t>家湾两村间出境，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流经静乐</w:t>
      </w:r>
      <w:r>
        <w:rPr>
          <w:rFonts w:hint="default" w:ascii="Times New Roman" w:hAnsi="Times New Roman" w:eastAsia="仿宋" w:cs="Times New Roman"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内。</w:t>
      </w:r>
      <w:r>
        <w:rPr>
          <w:rFonts w:hint="default" w:ascii="Times New Roman" w:hAnsi="Times New Roman" w:eastAsia="仿宋" w:cs="Times New Roman"/>
          <w:sz w:val="32"/>
          <w:szCs w:val="32"/>
        </w:rPr>
        <w:t>境内流域控制面积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1649</w:t>
      </w:r>
      <w:r>
        <w:rPr>
          <w:rFonts w:hint="default" w:ascii="Times New Roman" w:hAnsi="Times New Roman" w:eastAsia="仿宋" w:cs="Times New Roman"/>
          <w:sz w:val="32"/>
          <w:szCs w:val="32"/>
        </w:rPr>
        <w:t>km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，主河道长6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km，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平均纵坡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1/166，</w:t>
      </w:r>
      <w:r>
        <w:rPr>
          <w:rFonts w:hint="default" w:ascii="Times New Roman" w:hAnsi="Times New Roman" w:eastAsia="仿宋" w:cs="Times New Roman"/>
          <w:sz w:val="32"/>
          <w:szCs w:val="32"/>
        </w:rPr>
        <w:t>年平均洪水期流量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" w:cs="Times New Roman"/>
          <w:sz w:val="32"/>
          <w:szCs w:val="32"/>
        </w:rPr>
        <w:t>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/s。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仿宋" w:cs="Times New Roman"/>
          <w:sz w:val="32"/>
          <w:szCs w:val="32"/>
        </w:rPr>
        <w:t>河流域，源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于东马坊乡石窑子、怀道乡的谢家坪沟、余庄的三张庄村东沟三条沟汇合而成的主流称为洪河。后经宁化镇中山阁处汇入汾</w:t>
      </w:r>
      <w:r>
        <w:rPr>
          <w:rFonts w:hint="default" w:ascii="Times New Roman" w:hAnsi="Times New Roman" w:eastAsia="仿宋" w:cs="Times New Roman"/>
          <w:sz w:val="32"/>
          <w:szCs w:val="32"/>
        </w:rPr>
        <w:t>河。境内流域控制面积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504</w:t>
      </w:r>
      <w:r>
        <w:rPr>
          <w:rFonts w:hint="default" w:ascii="Times New Roman" w:hAnsi="Times New Roman" w:eastAsia="仿宋" w:cs="Times New Roman"/>
          <w:sz w:val="32"/>
          <w:szCs w:val="32"/>
        </w:rPr>
        <w:t>km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，主河道长3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km，河道比降1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‰，年平均洪水期流量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/s。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恢</w:t>
      </w:r>
      <w:r>
        <w:rPr>
          <w:rFonts w:hint="default" w:ascii="Times New Roman" w:hAnsi="Times New Roman" w:eastAsia="仿宋" w:cs="Times New Roman"/>
          <w:sz w:val="32"/>
          <w:szCs w:val="32"/>
        </w:rPr>
        <w:t>河流域，发源于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余庄乡分水岭脚下</w:t>
      </w:r>
      <w:r>
        <w:rPr>
          <w:rFonts w:hint="default" w:ascii="Times New Roman" w:hAnsi="Times New Roman" w:eastAsia="仿宋" w:cs="Times New Roman"/>
          <w:sz w:val="32"/>
          <w:szCs w:val="32"/>
        </w:rPr>
        <w:t>，由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" w:cs="Times New Roman"/>
          <w:sz w:val="32"/>
          <w:szCs w:val="32"/>
        </w:rPr>
        <w:t>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东</w:t>
      </w:r>
      <w:r>
        <w:rPr>
          <w:rFonts w:hint="default" w:ascii="Times New Roman" w:hAnsi="Times New Roman" w:eastAsia="仿宋" w:cs="Times New Roman"/>
          <w:sz w:val="32"/>
          <w:szCs w:val="32"/>
        </w:rPr>
        <w:t>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经阳方口</w:t>
      </w:r>
      <w:r>
        <w:rPr>
          <w:rFonts w:hint="default" w:ascii="Times New Roman" w:hAnsi="Times New Roman" w:eastAsia="仿宋" w:cs="Times New Roman"/>
          <w:sz w:val="32"/>
          <w:szCs w:val="32"/>
        </w:rPr>
        <w:t>出境入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朔州市</w:t>
      </w:r>
      <w:r>
        <w:rPr>
          <w:rFonts w:hint="default" w:ascii="Times New Roman" w:hAnsi="Times New Roman" w:eastAsia="仿宋" w:cs="Times New Roman"/>
          <w:sz w:val="32"/>
          <w:szCs w:val="32"/>
        </w:rPr>
        <w:t>。境内流域控制面积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301</w:t>
      </w:r>
      <w:r>
        <w:rPr>
          <w:rFonts w:hint="default" w:ascii="Times New Roman" w:hAnsi="Times New Roman" w:eastAsia="仿宋" w:cs="Times New Roman"/>
          <w:sz w:val="32"/>
          <w:szCs w:val="32"/>
        </w:rPr>
        <w:t>km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，河长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sz w:val="32"/>
          <w:szCs w:val="32"/>
        </w:rPr>
        <w:t>km，河道比降1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‰，年平均洪水期流量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5m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1.1.3 气候水文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5" w:name="_Toc271881415"/>
      <w:bookmarkStart w:id="6" w:name="_Toc208820449"/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宁武县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属温带大陆性季风气候。其主要特征是：春季干旱多风，夏季降水集中，秋季天高气爽，冬季漫长而寒冷。年平均气温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℃，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最低气温-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℃，最高气温 3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℃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多年平均降水量为 4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mm，</w:t>
      </w:r>
      <w:r>
        <w:rPr>
          <w:rFonts w:hint="default" w:ascii="Times New Roman" w:hAnsi="Times New Roman" w:eastAsia="仿宋" w:cs="Times New Roman"/>
          <w:sz w:val="32"/>
          <w:szCs w:val="32"/>
        </w:rPr>
        <w:t>多集中于七、八、九三个月内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年平均日照2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935</w:t>
      </w:r>
      <w:r>
        <w:rPr>
          <w:rFonts w:hint="eastAsia" w:ascii="Times New Roman" w:hAnsi="Times New Roman" w:eastAsia="仿宋" w:cs="Times New Roman"/>
          <w:color w:val="000000"/>
          <w:spacing w:val="8"/>
          <w:kern w:val="0"/>
          <w:sz w:val="32"/>
          <w:szCs w:val="32"/>
          <w:lang w:eastAsia="zh-CN"/>
        </w:rPr>
        <w:t>小时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，无霜期平均1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" w:cs="Times New Roman"/>
          <w:color w:val="000000"/>
          <w:spacing w:val="8"/>
          <w:kern w:val="0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，最长1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" w:cs="Times New Roman"/>
          <w:color w:val="000000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年平均相对湿度为5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%。境内常年多刮偏西风，年平均风速为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.1m/s，最大风速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.7m/s。</w:t>
      </w:r>
    </w:p>
    <w:bookmarkEnd w:id="5"/>
    <w:bookmarkEnd w:id="6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7" w:name="_Toc296696589"/>
      <w:bookmarkStart w:id="8" w:name="_Toc304819684"/>
      <w:bookmarkStart w:id="9" w:name="_Toc300414189"/>
      <w:bookmarkStart w:id="10" w:name="_Toc304386856"/>
      <w:bookmarkStart w:id="11" w:name="_Toc304884843"/>
      <w:bookmarkStart w:id="12" w:name="_Toc304972846"/>
      <w:bookmarkStart w:id="13" w:name="_Toc297822807"/>
      <w:bookmarkStart w:id="14" w:name="_Toc304476579"/>
      <w:bookmarkStart w:id="15" w:name="_Toc304044593"/>
      <w:bookmarkStart w:id="16" w:name="_Toc298946725"/>
      <w:bookmarkStart w:id="17" w:name="_Toc296696177"/>
      <w:bookmarkStart w:id="18" w:name="_Toc304193568"/>
      <w:bookmarkStart w:id="19" w:name="_Toc330557164"/>
      <w:bookmarkStart w:id="20" w:name="_Toc304819215"/>
      <w:bookmarkStart w:id="21" w:name="_Toc296689637"/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1.1.4 地形地貌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z w:val="32"/>
          <w:szCs w:val="32"/>
        </w:rPr>
        <w:t>县地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处晋西北黄土高原东部边沿，境内山峰高耸，群山林立，平均海拨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1800—2000米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西部有管涔山，主峰芦芽山海拨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2736米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主要山脉呈东北、西南走向。中部以分水岭为界，向西南为汾河流域。主河道地貌为河谷峡区。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2．组织指挥体系及职责</w:t>
      </w:r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z w:val="32"/>
          <w:szCs w:val="32"/>
        </w:rPr>
        <w:t>县山洪灾害防治防御工作纳入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z w:val="32"/>
          <w:szCs w:val="32"/>
        </w:rPr>
        <w:t>县人民政府防汛抗旱指挥部的常规工作。在市防汛抗旱指挥部和同级人民政府的领导下，组织和指挥本县的山洪灾害防御工作。</w:t>
      </w:r>
    </w:p>
    <w:p>
      <w:pPr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总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指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赵亚峰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县政府县长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常务副总指挥：狄文俊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县委常委、县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政府常务副县长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：冀海亮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县委常委、县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政法委书记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2880" w:firstLineChars="9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李建明  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汾河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理事务中心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苏  伟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人武部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" w:cs="Times New Roman"/>
          <w:sz w:val="32"/>
          <w:szCs w:val="32"/>
        </w:rPr>
        <w:t>部长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胡增海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县应急局局长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仝大鹏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水利</w:t>
      </w:r>
      <w:r>
        <w:rPr>
          <w:rFonts w:hint="default" w:ascii="Times New Roman" w:hAnsi="Times New Roman" w:eastAsia="仿宋" w:cs="Times New Roman"/>
          <w:sz w:val="32"/>
          <w:szCs w:val="32"/>
        </w:rPr>
        <w:t>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-14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张禹勋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周  鑫  县委办、县政府办主任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729" w:leftChars="233" w:right="0" w:rightChars="0" w:hanging="2240" w:hangingChars="7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吕玉森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孟建青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王志荣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刘成平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729" w:leftChars="233" w:right="0" w:rightChars="0" w:hanging="2240" w:hangingChars="7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朱月生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孙成英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巩俊峰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王继宁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729" w:leftChars="233" w:right="0" w:rightChars="0" w:hanging="2240" w:hangingChars="7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杜五凯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云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李树文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隋贤荣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729" w:leftChars="233" w:right="0" w:rightChars="0" w:hanging="2240" w:hangingChars="7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闫  鹏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韩晓亮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孙俊芳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侯凤青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729" w:leftChars="233" w:right="0" w:rightChars="0" w:hanging="2240" w:hangingChars="7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米  飞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吴建国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弓伟才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周月林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234" w:leftChars="1064" w:right="0" w:righ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董志敏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  <w:lang w:val="en-US" w:eastAsia="zh-CN"/>
        </w:rPr>
        <w:t>郑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  <w:lang w:val="en-US" w:eastAsia="zh-CN"/>
        </w:rPr>
        <w:t>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234" w:leftChars="1064" w:right="0" w:righ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12个乡（镇）长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指挥部下设监测信息组、转移安置组、调度保障组、新闻报道组、抢险救灾组5个责任组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</w:rPr>
        <w:t>个成员单位。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指挥部办公室设在县水利局，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办公室主任由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仝大鹏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同志担任，</w:t>
      </w:r>
      <w:r>
        <w:rPr>
          <w:rFonts w:hint="default" w:ascii="Times New Roman" w:hAnsi="Times New Roman" w:eastAsia="仿宋" w:cs="Times New Roman"/>
          <w:sz w:val="32"/>
          <w:szCs w:val="32"/>
        </w:rPr>
        <w:t>负责山洪灾害防御日常工作。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监测信息组（由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个部门组成）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冀海亮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副组长：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仝大鹏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成员单位：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水利局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、发改局、</w:t>
      </w:r>
      <w:r>
        <w:rPr>
          <w:rFonts w:hint="default" w:ascii="Times New Roman" w:hAnsi="Times New Roman" w:eastAsia="仿宋" w:cs="Times New Roman"/>
          <w:sz w:val="32"/>
          <w:szCs w:val="32"/>
        </w:rPr>
        <w:t>气象局、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应急局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自然资源局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农业农村局、林业局、工信局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主要职责：负责气象信息、雨情、水情、工情等的监测。及时分析和研判可能出现的险情，为领导决策提供依据。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转移安置组（由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个部门组成）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狄文俊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长：李建明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张禹勋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成员单位：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汾河治理事务中心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、住建局、</w:t>
      </w:r>
      <w:r>
        <w:rPr>
          <w:rFonts w:hint="default" w:ascii="Times New Roman" w:hAnsi="Times New Roman" w:eastAsia="仿宋" w:cs="Times New Roman"/>
          <w:sz w:val="32"/>
          <w:szCs w:val="32"/>
        </w:rPr>
        <w:t>公安局、民政局、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人社局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教育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科技局、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市生态环境局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宁武分局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县文旅局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主要职责：负责按照指挥部的命令及预警通知，做好受威胁群众按预定的路线和地点转移组织工作，负责将转移人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" w:cs="Times New Roman"/>
          <w:sz w:val="32"/>
          <w:szCs w:val="32"/>
        </w:rPr>
        <w:t>一个不漏地动员到户到人，确保转移途中和安置后的人员安全。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调度保障组（由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个部门组成）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冀海亮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长：王继宁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成员单位：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财政局、卫健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局、</w:t>
      </w:r>
      <w:r>
        <w:rPr>
          <w:rFonts w:hint="default" w:ascii="Times New Roman" w:hAnsi="Times New Roman" w:eastAsia="仿宋" w:cs="Times New Roman"/>
          <w:sz w:val="32"/>
          <w:szCs w:val="32"/>
        </w:rPr>
        <w:t>交通局、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供销社、供电公司、移动公司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联通公司、电信公司。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主要职责：负责抢险救灾资金、物资、车辆以及医疗卫生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等保障性工作。险情发生时，保障抢险救灾物资、设备及时到位。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新闻报道组（由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个部门组成）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  长：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吴建国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成员单位：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县融媒体中心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主要职责：发布经县防指审核后的险情及抢险救灾的有关信息，涉及政治和社会稳定的重大险情、灾情信息，需征求县委办、县政府办的意见或按县委宣传部授权意见，方可对外发</w:t>
      </w:r>
      <w:r>
        <w:rPr>
          <w:rFonts w:hint="default" w:ascii="Times New Roman" w:hAnsi="Times New Roman" w:eastAsia="仿宋" w:cs="Times New Roman"/>
          <w:w w:val="90"/>
          <w:sz w:val="32"/>
          <w:szCs w:val="32"/>
        </w:rPr>
        <w:t>布相关信</w:t>
      </w:r>
      <w:r>
        <w:rPr>
          <w:rFonts w:hint="default" w:ascii="Times New Roman" w:hAnsi="Times New Roman" w:eastAsia="仿宋" w:cs="Times New Roman"/>
          <w:sz w:val="32"/>
          <w:szCs w:val="32"/>
        </w:rPr>
        <w:t>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抢险救灾组（由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个部门组成）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队  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县人武部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" w:cs="Times New Roman"/>
          <w:sz w:val="32"/>
          <w:szCs w:val="32"/>
        </w:rPr>
        <w:t>部长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队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伍</w:t>
      </w:r>
      <w:r>
        <w:rPr>
          <w:rFonts w:hint="default" w:ascii="Times New Roman" w:hAnsi="Times New Roman" w:eastAsia="仿宋" w:cs="Times New Roman"/>
          <w:sz w:val="32"/>
          <w:szCs w:val="32"/>
        </w:rPr>
        <w:t>：县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人民武装部全体官兵、武警宁武中队、县消防救援大队全体官兵。</w:t>
      </w:r>
    </w:p>
    <w:p>
      <w:pPr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主要职责：负责各类工程设施的抢修，协助转移安置组进行群众的安全转移。（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县山洪灾害防御组织指挥体系示意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图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bookmarkStart w:id="22" w:name="_Toc334174282"/>
      <w:bookmarkStart w:id="23" w:name="_Toc322079086"/>
      <w:r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3．监测预警</w:t>
      </w:r>
      <w:bookmarkEnd w:id="22"/>
      <w:bookmarkEnd w:id="23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4" w:name="_Toc322079087"/>
      <w:bookmarkStart w:id="25" w:name="_Toc334174283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3.1  监测信息收集、整理、上报</w:t>
      </w:r>
      <w:bookmarkEnd w:id="24"/>
      <w:bookmarkEnd w:id="2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水雨情监测信息来源主要有四种：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3.1.1</w:t>
      </w:r>
      <w:r>
        <w:rPr>
          <w:rFonts w:hint="default" w:ascii="Times New Roman" w:hAnsi="Times New Roman" w:eastAsia="仿宋" w:cs="Times New Roman"/>
          <w:sz w:val="32"/>
          <w:szCs w:val="32"/>
        </w:rPr>
        <w:t>监测预警平台接收。24小时监测接收全县自动雨量站及自动雨量水位站的实时水雨情信息。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3.1.2</w:t>
      </w:r>
      <w:r>
        <w:rPr>
          <w:rFonts w:hint="default" w:ascii="Times New Roman" w:hAnsi="Times New Roman" w:eastAsia="仿宋" w:cs="Times New Roman"/>
          <w:sz w:val="32"/>
          <w:szCs w:val="32"/>
        </w:rPr>
        <w:t>人工收集。全县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5个自动雨量站，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个自动水雨站，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1个简易水位站，88</w:t>
      </w:r>
      <w:r>
        <w:rPr>
          <w:rFonts w:hint="default" w:ascii="Times New Roman" w:hAnsi="Times New Roman" w:eastAsia="仿宋" w:cs="Times New Roman"/>
          <w:sz w:val="32"/>
          <w:szCs w:val="32"/>
        </w:rPr>
        <w:t>个简易雨量站的水雨情信息，当达到准备转移条件时由各站点负责人报送乡（镇）值班室和县防汛抗旱指挥部办公室。主汛期（7月15日~8月15日）每日8时实行零报告制度。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3.1.3</w:t>
      </w:r>
      <w:r>
        <w:rPr>
          <w:rFonts w:hint="default" w:ascii="Times New Roman" w:hAnsi="Times New Roman" w:eastAsia="仿宋" w:cs="Times New Roman"/>
          <w:sz w:val="32"/>
          <w:szCs w:val="32"/>
        </w:rPr>
        <w:t>气象、水文部门报送的水雨情信息。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3.1.4</w:t>
      </w:r>
      <w:r>
        <w:rPr>
          <w:rFonts w:hint="default" w:ascii="Times New Roman" w:hAnsi="Times New Roman" w:eastAsia="仿宋" w:cs="Times New Roman"/>
          <w:sz w:val="32"/>
          <w:szCs w:val="32"/>
        </w:rPr>
        <w:t>各类水库、淤地坝、滑坡体等的工情信息。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6" w:name="_Toc334174284"/>
      <w:bookmarkStart w:id="27" w:name="_Toc322079088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3.2  预警级别</w:t>
      </w:r>
      <w:bookmarkEnd w:id="26"/>
      <w:bookmarkEnd w:id="2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山洪灾害预警级别分两级：准备转移和立即转移。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根据气象部门预报信息和水雨工情监测信息，经过综合判定，确定预警的级别、范围等。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6"/>
        <w:gridCol w:w="555"/>
        <w:gridCol w:w="555"/>
        <w:gridCol w:w="555"/>
        <w:gridCol w:w="576"/>
        <w:gridCol w:w="576"/>
        <w:gridCol w:w="576"/>
        <w:gridCol w:w="525"/>
        <w:gridCol w:w="555"/>
        <w:gridCol w:w="696"/>
        <w:gridCol w:w="576"/>
        <w:gridCol w:w="576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852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bookmarkStart w:id="28" w:name="RANGE!A1:N24"/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  <w:lang w:eastAsia="zh-CN"/>
              </w:rPr>
              <w:t>宁武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县山洪灾害小流域雨量预警指标</w:t>
            </w:r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降水量单位：mm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小流域</w:t>
            </w:r>
          </w:p>
        </w:tc>
        <w:tc>
          <w:tcPr>
            <w:tcW w:w="33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准备转移指标</w:t>
            </w: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立即转移指标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1h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3h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24h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过程雨量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1h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3h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24h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过程雨量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石湖河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福善庄河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62.9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84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北石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60.0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大庙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59.0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鸾桥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59.0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陈家半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72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63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84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中马坊河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72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63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84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天池河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72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63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84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东马坊河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怀道河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西马坊河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新堡河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阳房沟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50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73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112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29" w:name="_Toc334174285"/>
      <w:bookmarkStart w:id="30" w:name="_Toc322079089"/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3.3  预警指令的签发及发布方式</w:t>
      </w:r>
      <w:bookmarkEnd w:id="29"/>
      <w:bookmarkEnd w:id="3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</w:rPr>
        <w:t>准备转移预警指令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kern w:val="0"/>
          <w:sz w:val="32"/>
          <w:szCs w:val="32"/>
        </w:rPr>
        <w:t>经县防指组织会商后，</w:t>
      </w:r>
      <w:r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</w:rPr>
        <w:t>由防指常务指挥签发。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</w:rPr>
        <w:t>立即转移预警指令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kern w:val="0"/>
          <w:sz w:val="32"/>
          <w:szCs w:val="32"/>
        </w:rPr>
        <w:t>经县防指组织会商后，由防指总指挥签发。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kern w:val="0"/>
          <w:sz w:val="32"/>
          <w:szCs w:val="32"/>
        </w:rPr>
        <w:t>经签发的预警指令，由县防汛抗旱指挥部办公室通过预警系统和电视、电话、传真、电子邮件、手机短信等方式通知有关乡（镇）、村庄。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31" w:name="_Toc322079090"/>
      <w:bookmarkStart w:id="32" w:name="_Toc334174286"/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3.4  预警程序</w:t>
      </w:r>
      <w:bookmarkEnd w:id="31"/>
      <w:bookmarkEnd w:id="3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pacing w:val="0"/>
          <w:w w:val="100"/>
          <w:kern w:val="0"/>
          <w:sz w:val="32"/>
          <w:szCs w:val="32"/>
          <w:lang w:val="zh-CN"/>
        </w:rPr>
        <w:t>发布程序分一般情况和紧急情况：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  <w:t>（1）一般情况下，按县→乡（镇）→村→户的次序进行预警。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  <w:t>（2）紧急情况下，村级山洪防御机构可直接向本村发布预警信号并组织转移、撤离，同时报告乡（镇）防汛指挥机构和县防汛指挥部办公室。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bookmarkStart w:id="33" w:name="_Toc322079091"/>
      <w:bookmarkStart w:id="34" w:name="_Toc334174287"/>
      <w:r>
        <w:rPr>
          <w:rFonts w:hint="default" w:ascii="Times New Roman" w:hAnsi="Times New Roman" w:eastAsia="楷体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3.5  预警响应</w:t>
      </w:r>
      <w:bookmarkEnd w:id="33"/>
      <w:bookmarkEnd w:id="3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t>3.5.1准备转移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t>由县防指常务副总指挥主持会商，各小组成员参加，针对防御工作做出部署。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（1）监测信息组：加强雨水情变化的观测，加密各工情点的监测巡查。随时掌握各种汛情，及时研判，并将最新信息上报县防指。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  <w:t>2）调度保障组：根据预警范围准备必须救灾物资，随时待命。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（3）转移安置组：各相关单位、各乡（镇）做好转移准备工作的同时，所包乡（镇）负责人立即奔赴可能发生山洪区域督促指导转移准备工作。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（4）新闻报道组：听从指挥部命令，及时发布雨情以及撤离等指令。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（5）应急抢险队：应急抢险队员集结待命，听从指挥部命令出发抢险。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（6）县防办做好各项组织、协调工作，及时将汛情、灾情、抢险措施等上报市防办。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3.5.2立即转移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84" w:firstLineChars="200"/>
        <w:jc w:val="both"/>
        <w:textAlignment w:val="auto"/>
        <w:rPr>
          <w:rFonts w:hint="default" w:ascii="Times New Roman" w:hAnsi="Times New Roman" w:eastAsia="仿宋" w:cs="Times New Roman"/>
          <w:spacing w:val="1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1"/>
          <w:kern w:val="0"/>
          <w:sz w:val="32"/>
          <w:szCs w:val="32"/>
        </w:rPr>
        <w:t>县防指总指挥主持会商，防指全体成员参加，部署防御工作。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（1）监测信息组：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密切关注汛情的发展变化，做好汛情预测预报。增加值班人员，加强值班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。将最新信息及时上报县防指，经分析后报县政府及市防汛抗旱指挥部办公室，利于领导指挥决策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（2）调度保障组：将转移群众必须的生活用品和抢险救灾物资及时运达受灾地区，保障人民群众的生活不受影响和抢险救灾的顺利进行。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（3）转移安置组：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县、乡、村的各级防汛指挥机构负责人、成员单位负责人应按照职责到分管的区域组织指挥转移工作，全力以赴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做好受威胁群众按预定的路线和地点转移组织工作，负责将转移人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一个不漏地动员到户到人，同时确保转移途中和安置后的人员安全。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（4）新闻报道组：在县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融媒体中心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发布撤离警报，帮助群众及时了解撤离的信息，并及时报道山洪发展及抗洪措施。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（5）应急抢险队：应急抢险队员在接到指令后，立即赶赴受灾区域，进行抢险救灾，将损失减少到最低。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（6）由县防指领导和专家组成的工作组赴一线指导工作。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（7）县防办做好各项组织、协调工作，及时将汛情、灾情、抢险措施等上报市防办。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5" w:name="_Toc334174288"/>
      <w:bookmarkStart w:id="36" w:name="_Toc322079092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3.6  预警解除</w:t>
      </w:r>
      <w:bookmarkEnd w:id="35"/>
      <w:bookmarkEnd w:id="3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根据天气预报和水雨情的变化情况，县防指会商后，可以决定宣布解除预警。</w:t>
      </w:r>
      <w:bookmarkStart w:id="37" w:name="_Toc322079093"/>
      <w:bookmarkStart w:id="38" w:name="_Toc3341742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4．保障措施</w:t>
      </w:r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县、乡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、村、对所辖区域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在汛前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进行全面普查，发现问题登记造册，及时上报，尽快处理，同时对可能引发山洪灾害的工程、区域等安排专人负责防守。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（1）物资保障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物资部门汛前需准备一定数量的救灾物资，当灾害发生后及时将救灾、抢险物资运抵受灾区域。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（2）电力保障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电力部门要保证防洪工程的电力供应。优先保障抢险、排涝、救灾的应急用电调配和电力供应。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（3）交通保障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交通部门要做好公路交通设施的安全工作；做好受灾人员、物资及设备的运输工作。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（4）通讯保障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通讯部门要做好山洪灾害发生时通信保障工作。根据险情需要，协调调度全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电信运营企业的应急通信设施。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（5）医疗卫生保障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医疗卫生部门要做好疾病预防控制和医疗救护工作。当灾害发生后，组织卫生力量赶赴灾区，开展防病治病，预防和控制疫情的发生和流行，并及时向市防指提供灾害发生区疫情与防治信息。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bookmarkStart w:id="39" w:name="_Toc322079094"/>
      <w:bookmarkStart w:id="40" w:name="_Toc33417429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  <w:t>5．宣传、培训及演练</w:t>
      </w:r>
      <w:bookmarkEnd w:id="39"/>
      <w:bookmarkEnd w:id="4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41" w:name="_Toc322079095"/>
      <w:bookmarkStart w:id="42" w:name="_Toc334174291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5.1  宣传</w:t>
      </w:r>
      <w:bookmarkEnd w:id="41"/>
      <w:bookmarkEnd w:id="4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充分利用会议、广播、电视以及宣传栏、宣传册、挂图、明白卡、墙报、标语等群众通俗易懂、喜闻乐见的形式，大力宣传山洪灾害防治知识、防御常识及本预案内的主要内容等。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43" w:name="_Toc334174292"/>
      <w:bookmarkStart w:id="44" w:name="_Toc322079096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5.2  培训</w:t>
      </w:r>
      <w:bookmarkEnd w:id="43"/>
      <w:bookmarkEnd w:id="4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汛前要对受山洪灾害威胁地区的干部群众进行全方位教育培训，使广大干部群众掌握对山洪灾害的预防、避险、救灾等知识，保证每个村民了解预警信号、撤离路线等。增强全民对山洪灾害的防范意识。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45" w:name="_Toc322079097"/>
      <w:bookmarkStart w:id="46" w:name="_Toc334174293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5.3  演练</w:t>
      </w:r>
      <w:bookmarkEnd w:id="45"/>
      <w:bookmarkEnd w:id="4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受山洪灾害威胁的地区，汛前要组织以行政村为单位或多村联合进行山洪灾害防御演练。演练内容包括应急响应、抢险、救灾、转移、后勤保障、人员转移、安置等。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bookmarkStart w:id="47" w:name="_Toc334174294"/>
      <w:bookmarkStart w:id="48" w:name="_Toc322079098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  <w:t>6．附则</w:t>
      </w:r>
      <w:bookmarkEnd w:id="47"/>
      <w:bookmarkEnd w:id="4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本预案适用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县山洪灾害防御工作，由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县人民政府审批，报忻州市防汛抗旱指挥部备案。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县防办每年对本预案视情况变化作出相应完善修改。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本预案由县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水利局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办公室制定并负责解释。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县山洪沟道的基本情况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边山峪口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2.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县山洪灾害防御组织指挥</w:t>
      </w:r>
      <w:bookmarkStart w:id="49" w:name="_GoBack"/>
      <w:bookmarkEnd w:id="49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体系及职责分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宁武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县重点区域自动监测雨量站、水位站一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4.宁武县山洪灾害防御组织指挥体系示意图</w:t>
      </w:r>
    </w:p>
    <w:p>
      <w:pPr>
        <w:rPr>
          <w:rFonts w:hint="default"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GLwMoBAACb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d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cGL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zFmYWQ2ZjY4ZGJjM2QwZjc5ODRmMWZjZjcyY2MifQ=="/>
  </w:docVars>
  <w:rsids>
    <w:rsidRoot w:val="00000000"/>
    <w:rsid w:val="2F9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空房子</cp:lastModifiedBy>
  <dcterms:modified xsi:type="dcterms:W3CDTF">2023-05-29T16:36:15Z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6E3588DCBF2544CE81C96184C47E2C0D_12</vt:lpwstr>
  </property>
</Properties>
</file>