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wordWrap/>
        <w:topLinePunct/>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widowControl/>
        <w:numPr>
          <w:ilvl w:val="0"/>
          <w:numId w:val="0"/>
        </w:numPr>
        <w:wordWrap/>
        <w:topLinePunct/>
        <w:adjustRightInd/>
        <w:snapToGrid/>
        <w:spacing w:line="600" w:lineRule="exact"/>
        <w:jc w:val="both"/>
        <w:textAlignment w:val="auto"/>
        <w:rPr>
          <w:rFonts w:hint="eastAsia" w:ascii="黑体" w:hAnsi="黑体" w:eastAsia="黑体" w:cs="黑体"/>
          <w:sz w:val="32"/>
          <w:szCs w:val="32"/>
          <w:lang w:val="en-US" w:eastAsia="zh-CN"/>
        </w:rPr>
      </w:pPr>
    </w:p>
    <w:p>
      <w:pPr>
        <w:widowControl/>
        <w:numPr>
          <w:ilvl w:val="0"/>
          <w:numId w:val="0"/>
        </w:numPr>
        <w:wordWrap/>
        <w:topLinePunct/>
        <w:adjustRightInd/>
        <w:snapToGrid/>
        <w:spacing w:line="600" w:lineRule="exact"/>
        <w:jc w:val="center"/>
        <w:textAlignment w:val="auto"/>
        <w:rPr>
          <w:rFonts w:hint="default"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36"/>
          <w:szCs w:val="36"/>
          <w:lang w:val="en-US" w:eastAsia="zh-CN"/>
        </w:rPr>
        <w:t>宁武县天然气迎峰度冬保供应急指挥机构及职责</w:t>
      </w:r>
    </w:p>
    <w:tbl>
      <w:tblPr>
        <w:tblStyle w:val="2"/>
        <w:tblW w:w="9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018"/>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6" w:type="dxa"/>
            <w:gridSpan w:val="2"/>
            <w:vAlign w:val="top"/>
          </w:tcPr>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指挥机构</w:t>
            </w:r>
          </w:p>
        </w:tc>
        <w:tc>
          <w:tcPr>
            <w:tcW w:w="6271" w:type="dxa"/>
            <w:vAlign w:val="top"/>
          </w:tcPr>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98" w:type="dxa"/>
            <w:vAlign w:val="top"/>
          </w:tcPr>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指</w:t>
            </w:r>
          </w:p>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挥</w:t>
            </w:r>
          </w:p>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长</w:t>
            </w:r>
          </w:p>
        </w:tc>
        <w:tc>
          <w:tcPr>
            <w:tcW w:w="2018" w:type="dxa"/>
            <w:vAlign w:val="center"/>
          </w:tcPr>
          <w:p>
            <w:pPr>
              <w:widowControl/>
              <w:numPr>
                <w:ilvl w:val="0"/>
                <w:numId w:val="0"/>
              </w:numPr>
              <w:wordWrap/>
              <w:topLinePunct/>
              <w:adjustRightInd/>
              <w:snapToGrid/>
              <w:spacing w:line="600" w:lineRule="exact"/>
              <w:jc w:val="center"/>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县政府分管</w:t>
            </w:r>
          </w:p>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副县长</w:t>
            </w:r>
          </w:p>
        </w:tc>
        <w:tc>
          <w:tcPr>
            <w:tcW w:w="6271" w:type="dxa"/>
            <w:vMerge w:val="restart"/>
            <w:vAlign w:val="top"/>
          </w:tcPr>
          <w:p>
            <w:pPr>
              <w:tabs>
                <w:tab w:val="left" w:pos="1310"/>
              </w:tabs>
              <w:jc w:val="left"/>
              <w:rPr>
                <w:rFonts w:hint="default" w:ascii="Times New Roman" w:hAnsi="Times New Roman" w:cs="Times New Roman"/>
                <w:lang w:val="en-US" w:eastAsia="zh-CN"/>
              </w:rPr>
            </w:pPr>
          </w:p>
          <w:p>
            <w:pPr>
              <w:tabs>
                <w:tab w:val="left" w:pos="1310"/>
              </w:tabs>
              <w:ind w:firstLine="480" w:firstLineChars="200"/>
              <w:jc w:val="left"/>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县指挥部主要职责</w:t>
            </w:r>
            <w:r>
              <w:rPr>
                <w:rFonts w:hint="eastAsia" w:ascii="Times New Roman" w:hAnsi="Times New Roman" w:cs="Times New Roman"/>
                <w:sz w:val="24"/>
                <w:szCs w:val="32"/>
                <w:lang w:val="en-US" w:eastAsia="zh-CN"/>
              </w:rPr>
              <w:t>：</w:t>
            </w:r>
            <w:r>
              <w:rPr>
                <w:rFonts w:hint="default" w:ascii="Times New Roman" w:hAnsi="Times New Roman" w:cs="Times New Roman"/>
                <w:sz w:val="24"/>
                <w:szCs w:val="32"/>
                <w:lang w:val="en-US" w:eastAsia="zh-CN"/>
              </w:rPr>
              <w:t>县指挥部负责统一领导、指挥迎峰度冬期间全县天然气保供应急工作</w:t>
            </w:r>
            <w:r>
              <w:rPr>
                <w:rFonts w:hint="eastAsia" w:ascii="Times New Roman" w:hAnsi="Times New Roman" w:cs="Times New Roman"/>
                <w:sz w:val="24"/>
                <w:szCs w:val="32"/>
                <w:lang w:val="en-US" w:eastAsia="zh-CN"/>
              </w:rPr>
              <w:t>，</w:t>
            </w:r>
            <w:r>
              <w:rPr>
                <w:rFonts w:hint="default" w:ascii="Times New Roman" w:hAnsi="Times New Roman" w:cs="Times New Roman"/>
                <w:sz w:val="24"/>
                <w:szCs w:val="32"/>
                <w:lang w:val="en-US" w:eastAsia="zh-CN"/>
              </w:rPr>
              <w:t>协调、督促成员单位和相关部门做好天然气供需失衡情况下的各项工作</w:t>
            </w:r>
            <w:r>
              <w:rPr>
                <w:rFonts w:hint="eastAsia" w:ascii="Times New Roman" w:hAnsi="Times New Roman" w:cs="Times New Roman"/>
                <w:sz w:val="24"/>
                <w:szCs w:val="32"/>
                <w:lang w:val="en-US" w:eastAsia="zh-CN"/>
              </w:rPr>
              <w:t>，</w:t>
            </w:r>
            <w:r>
              <w:rPr>
                <w:rFonts w:hint="default" w:ascii="Times New Roman" w:hAnsi="Times New Roman" w:cs="Times New Roman"/>
                <w:sz w:val="24"/>
                <w:szCs w:val="32"/>
                <w:lang w:val="en-US" w:eastAsia="zh-CN"/>
              </w:rPr>
              <w:t>负责发布预警信息、制订保供应急处置方案、启动和结束应急响应。</w:t>
            </w:r>
          </w:p>
          <w:p>
            <w:pPr>
              <w:tabs>
                <w:tab w:val="left" w:pos="1310"/>
              </w:tabs>
              <w:ind w:firstLine="480" w:firstLineChars="200"/>
              <w:jc w:val="left"/>
              <w:rPr>
                <w:rFonts w:hint="default" w:ascii="Times New Roman" w:hAnsi="Times New Roman" w:cs="Times New Roman"/>
                <w:sz w:val="24"/>
                <w:szCs w:val="32"/>
                <w:lang w:val="en-US" w:eastAsia="zh-CN"/>
              </w:rPr>
            </w:pPr>
          </w:p>
          <w:p>
            <w:pPr>
              <w:tabs>
                <w:tab w:val="left" w:pos="1310"/>
              </w:tabs>
              <w:ind w:firstLine="480" w:firstLineChars="200"/>
              <w:jc w:val="left"/>
              <w:rPr>
                <w:rFonts w:hint="default" w:ascii="Times New Roman" w:hAnsi="Times New Roman" w:cs="Times New Roman"/>
                <w:lang w:val="en-US" w:eastAsia="zh-CN"/>
              </w:rPr>
            </w:pPr>
            <w:r>
              <w:rPr>
                <w:rFonts w:hint="default" w:ascii="Times New Roman" w:hAnsi="Times New Roman" w:cs="Times New Roman"/>
                <w:sz w:val="24"/>
                <w:szCs w:val="32"/>
                <w:lang w:val="en-US" w:eastAsia="zh-CN"/>
              </w:rPr>
              <w:t>县指挥部办公室主要职责</w:t>
            </w:r>
            <w:r>
              <w:rPr>
                <w:rFonts w:hint="eastAsia" w:ascii="Times New Roman" w:hAnsi="Times New Roman" w:cs="Times New Roman"/>
                <w:sz w:val="24"/>
                <w:szCs w:val="32"/>
                <w:lang w:val="en-US" w:eastAsia="zh-CN"/>
              </w:rPr>
              <w:t>：</w:t>
            </w:r>
            <w:r>
              <w:rPr>
                <w:rFonts w:hint="default" w:ascii="Times New Roman" w:hAnsi="Times New Roman" w:cs="Times New Roman"/>
                <w:sz w:val="24"/>
                <w:szCs w:val="32"/>
                <w:lang w:val="en-US" w:eastAsia="zh-CN"/>
              </w:rPr>
              <w:t>负责全县保供应急信息的收集、核实、处理、传递</w:t>
            </w:r>
            <w:r>
              <w:rPr>
                <w:rFonts w:hint="eastAsia" w:ascii="Times New Roman" w:hAnsi="Times New Roman" w:cs="Times New Roman"/>
                <w:sz w:val="24"/>
                <w:szCs w:val="32"/>
                <w:lang w:val="en-US" w:eastAsia="zh-CN"/>
              </w:rPr>
              <w:t>，</w:t>
            </w:r>
            <w:r>
              <w:rPr>
                <w:rFonts w:hint="default" w:ascii="Times New Roman" w:hAnsi="Times New Roman" w:cs="Times New Roman"/>
                <w:sz w:val="24"/>
                <w:szCs w:val="32"/>
                <w:lang w:val="en-US" w:eastAsia="zh-CN"/>
              </w:rPr>
              <w:t>及时向指挥部及其成员单位通报保供应急处置情况</w:t>
            </w:r>
            <w:r>
              <w:rPr>
                <w:rFonts w:hint="eastAsia" w:ascii="Times New Roman" w:hAnsi="Times New Roman" w:cs="Times New Roman"/>
                <w:sz w:val="24"/>
                <w:szCs w:val="32"/>
                <w:lang w:val="en-US" w:eastAsia="zh-CN"/>
              </w:rPr>
              <w:t>；</w:t>
            </w:r>
            <w:r>
              <w:rPr>
                <w:rFonts w:hint="default" w:ascii="Times New Roman" w:hAnsi="Times New Roman" w:cs="Times New Roman"/>
                <w:sz w:val="24"/>
                <w:szCs w:val="32"/>
                <w:lang w:val="en-US" w:eastAsia="zh-CN"/>
              </w:rPr>
              <w:t>负责接收、传达和执行指挥部的各项决策和指令</w:t>
            </w:r>
            <w:r>
              <w:rPr>
                <w:rFonts w:hint="eastAsia" w:ascii="Times New Roman" w:hAnsi="Times New Roman" w:cs="Times New Roman"/>
                <w:sz w:val="24"/>
                <w:szCs w:val="32"/>
                <w:lang w:val="en-US" w:eastAsia="zh-CN"/>
              </w:rPr>
              <w:t>，</w:t>
            </w:r>
            <w:r>
              <w:rPr>
                <w:rFonts w:hint="default" w:ascii="Times New Roman" w:hAnsi="Times New Roman" w:cs="Times New Roman"/>
                <w:sz w:val="24"/>
                <w:szCs w:val="32"/>
                <w:lang w:val="en-US" w:eastAsia="zh-CN"/>
              </w:rPr>
              <w:t>并检查和报告执行情况</w:t>
            </w:r>
            <w:r>
              <w:rPr>
                <w:rFonts w:hint="eastAsia" w:ascii="Times New Roman" w:hAnsi="Times New Roman" w:cs="Times New Roman"/>
                <w:sz w:val="24"/>
                <w:szCs w:val="32"/>
                <w:lang w:val="en-US" w:eastAsia="zh-CN"/>
              </w:rPr>
              <w:t>；</w:t>
            </w:r>
            <w:r>
              <w:rPr>
                <w:rFonts w:hint="default" w:ascii="Times New Roman" w:hAnsi="Times New Roman" w:cs="Times New Roman"/>
                <w:sz w:val="24"/>
                <w:szCs w:val="32"/>
                <w:lang w:val="en-US" w:eastAsia="zh-CN"/>
              </w:rPr>
              <w:t>提出保供应急处置建议。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798" w:type="dxa"/>
            <w:vMerge w:val="restart"/>
            <w:vAlign w:val="top"/>
          </w:tcPr>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副</w:t>
            </w:r>
          </w:p>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指</w:t>
            </w:r>
          </w:p>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挥</w:t>
            </w:r>
          </w:p>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长</w:t>
            </w:r>
          </w:p>
        </w:tc>
        <w:tc>
          <w:tcPr>
            <w:tcW w:w="2018" w:type="dxa"/>
            <w:vAlign w:val="top"/>
          </w:tcPr>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县政府办公室协管副主任</w:t>
            </w:r>
          </w:p>
        </w:tc>
        <w:tc>
          <w:tcPr>
            <w:tcW w:w="6271" w:type="dxa"/>
            <w:vMerge w:val="continue"/>
            <w:vAlign w:val="top"/>
          </w:tcPr>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798" w:type="dxa"/>
            <w:vMerge w:val="continue"/>
            <w:vAlign w:val="top"/>
          </w:tcPr>
          <w:p>
            <w:pPr>
              <w:widowControl/>
              <w:wordWrap/>
              <w:topLinePunct/>
              <w:adjustRightInd/>
              <w:snapToGrid/>
              <w:spacing w:line="600" w:lineRule="exact"/>
              <w:jc w:val="center"/>
              <w:textAlignment w:val="auto"/>
            </w:pPr>
          </w:p>
        </w:tc>
        <w:tc>
          <w:tcPr>
            <w:tcW w:w="2018" w:type="dxa"/>
            <w:vAlign w:val="center"/>
          </w:tcPr>
          <w:p>
            <w:pPr>
              <w:widowControl/>
              <w:numPr>
                <w:ilvl w:val="0"/>
                <w:numId w:val="0"/>
              </w:numPr>
              <w:wordWrap/>
              <w:topLinePunct/>
              <w:adjustRightInd/>
              <w:snapToGrid/>
              <w:spacing w:line="600" w:lineRule="exact"/>
              <w:jc w:val="center"/>
              <w:textAlignment w:val="auto"/>
              <w:rPr>
                <w:rFonts w:hint="eastAsia" w:eastAsia="宋体"/>
                <w:lang w:eastAsia="zh-CN"/>
              </w:rPr>
            </w:pPr>
            <w:r>
              <w:rPr>
                <w:rFonts w:hint="eastAsia" w:ascii="Times New Roman" w:hAnsi="Times New Roman" w:eastAsia="仿宋_GB2312" w:cs="Times New Roman"/>
                <w:sz w:val="28"/>
                <w:szCs w:val="28"/>
                <w:lang w:val="en-US" w:eastAsia="zh-CN"/>
              </w:rPr>
              <w:t>县发改局局长</w:t>
            </w:r>
          </w:p>
        </w:tc>
        <w:tc>
          <w:tcPr>
            <w:tcW w:w="6271" w:type="dxa"/>
            <w:vMerge w:val="continue"/>
            <w:vAlign w:val="top"/>
          </w:tcPr>
          <w:p>
            <w:pPr>
              <w:widowControl/>
              <w:wordWrap/>
              <w:topLinePunct/>
              <w:adjustRightInd/>
              <w:snapToGrid/>
              <w:spacing w:line="60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798" w:type="dxa"/>
            <w:vMerge w:val="restart"/>
            <w:vAlign w:val="center"/>
          </w:tcPr>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成员单位</w:t>
            </w:r>
          </w:p>
        </w:tc>
        <w:tc>
          <w:tcPr>
            <w:tcW w:w="2018" w:type="dxa"/>
            <w:vAlign w:val="center"/>
          </w:tcPr>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县委宣传部</w:t>
            </w:r>
          </w:p>
        </w:tc>
        <w:tc>
          <w:tcPr>
            <w:tcW w:w="6271" w:type="dxa"/>
            <w:vAlign w:val="top"/>
          </w:tcPr>
          <w:p>
            <w:pPr>
              <w:widowControl/>
              <w:numPr>
                <w:ilvl w:val="0"/>
                <w:numId w:val="0"/>
              </w:numPr>
              <w:wordWrap/>
              <w:topLinePunct/>
              <w:adjustRightInd/>
              <w:snapToGrid/>
              <w:spacing w:line="600" w:lineRule="exact"/>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根据相关职能部门提供的权威信息</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对天然气迎峰度冬保供应急工作进行报道</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积极引导舆论。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vMerge w:val="continue"/>
            <w:vAlign w:val="top"/>
          </w:tcPr>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32"/>
                <w:szCs w:val="32"/>
                <w:lang w:val="en-US" w:eastAsia="zh-CN"/>
              </w:rPr>
            </w:pPr>
          </w:p>
        </w:tc>
        <w:tc>
          <w:tcPr>
            <w:tcW w:w="2018" w:type="dxa"/>
            <w:vAlign w:val="center"/>
          </w:tcPr>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县</w:t>
            </w:r>
            <w:r>
              <w:rPr>
                <w:rFonts w:hint="default" w:ascii="Times New Roman" w:hAnsi="Times New Roman" w:eastAsia="仿宋_GB2312" w:cs="Times New Roman"/>
                <w:sz w:val="28"/>
                <w:szCs w:val="28"/>
                <w:lang w:val="en-US" w:eastAsia="zh-CN"/>
              </w:rPr>
              <w:t>发改局</w:t>
            </w:r>
          </w:p>
        </w:tc>
        <w:tc>
          <w:tcPr>
            <w:tcW w:w="6271" w:type="dxa"/>
            <w:vAlign w:val="top"/>
          </w:tcPr>
          <w:p>
            <w:pPr>
              <w:widowControl/>
              <w:numPr>
                <w:ilvl w:val="0"/>
                <w:numId w:val="0"/>
              </w:numPr>
              <w:wordWrap/>
              <w:topLinePunct/>
              <w:adjustRightInd/>
              <w:snapToGrid/>
              <w:spacing w:line="600" w:lineRule="exact"/>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承担县指挥部办公室职责</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积极协调上级部门和上游气源企业气源供应</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做好数据统计和信息报送工作</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制定并修改完善我县天然气迎峰度冬保供应急预案。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798" w:type="dxa"/>
            <w:vMerge w:val="continue"/>
            <w:vAlign w:val="top"/>
          </w:tcPr>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32"/>
                <w:szCs w:val="32"/>
                <w:lang w:val="en-US" w:eastAsia="zh-CN"/>
              </w:rPr>
            </w:pPr>
          </w:p>
        </w:tc>
        <w:tc>
          <w:tcPr>
            <w:tcW w:w="2018" w:type="dxa"/>
            <w:vAlign w:val="center"/>
          </w:tcPr>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县</w:t>
            </w:r>
            <w:r>
              <w:rPr>
                <w:rFonts w:hint="default" w:ascii="Times New Roman" w:hAnsi="Times New Roman" w:eastAsia="仿宋_GB2312" w:cs="Times New Roman"/>
                <w:sz w:val="28"/>
                <w:szCs w:val="28"/>
                <w:lang w:val="en-US" w:eastAsia="zh-CN"/>
              </w:rPr>
              <w:t>工信局</w:t>
            </w:r>
          </w:p>
        </w:tc>
        <w:tc>
          <w:tcPr>
            <w:tcW w:w="6271" w:type="dxa"/>
            <w:vAlign w:val="top"/>
          </w:tcPr>
          <w:p>
            <w:pPr>
              <w:widowControl/>
              <w:numPr>
                <w:ilvl w:val="0"/>
                <w:numId w:val="0"/>
              </w:numPr>
              <w:wordWrap/>
              <w:topLinePunct/>
              <w:adjustRightInd/>
              <w:snapToGrid/>
              <w:spacing w:line="600" w:lineRule="exact"/>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负责指导各部门和山西压缩天然气</w:t>
            </w:r>
            <w:r>
              <w:rPr>
                <w:rFonts w:hint="default" w:ascii="Times New Roman" w:hAnsi="Times New Roman" w:eastAsia="宋体" w:cs="Times New Roman"/>
                <w:sz w:val="24"/>
                <w:szCs w:val="24"/>
              </w:rPr>
              <w:t>集团</w:t>
            </w:r>
            <w:r>
              <w:rPr>
                <w:rFonts w:hint="default" w:ascii="Times New Roman" w:hAnsi="Times New Roman" w:eastAsia="宋体" w:cs="Times New Roman"/>
                <w:sz w:val="24"/>
                <w:szCs w:val="24"/>
                <w:lang w:val="en-US" w:eastAsia="zh-CN"/>
              </w:rPr>
              <w:t>宁武有限公司等相关企业落实“压非保民”措施。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798" w:type="dxa"/>
            <w:vMerge w:val="continue"/>
            <w:vAlign w:val="top"/>
          </w:tcPr>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32"/>
                <w:szCs w:val="32"/>
                <w:lang w:val="en-US" w:eastAsia="zh-CN"/>
              </w:rPr>
            </w:pPr>
          </w:p>
        </w:tc>
        <w:tc>
          <w:tcPr>
            <w:tcW w:w="2018" w:type="dxa"/>
            <w:vAlign w:val="center"/>
          </w:tcPr>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县</w:t>
            </w:r>
            <w:r>
              <w:rPr>
                <w:rFonts w:hint="default" w:ascii="Times New Roman" w:hAnsi="Times New Roman" w:eastAsia="仿宋_GB2312" w:cs="Times New Roman"/>
                <w:sz w:val="28"/>
                <w:szCs w:val="28"/>
                <w:lang w:val="en-US" w:eastAsia="zh-CN"/>
              </w:rPr>
              <w:t>公安局</w:t>
            </w:r>
          </w:p>
        </w:tc>
        <w:tc>
          <w:tcPr>
            <w:tcW w:w="6271" w:type="dxa"/>
            <w:vAlign w:val="top"/>
          </w:tcPr>
          <w:p>
            <w:pPr>
              <w:widowControl/>
              <w:numPr>
                <w:ilvl w:val="0"/>
                <w:numId w:val="0"/>
              </w:numPr>
              <w:wordWrap/>
              <w:topLinePunct/>
              <w:adjustRightInd/>
              <w:snapToGrid/>
              <w:spacing w:line="600" w:lineRule="exact"/>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做好道路通行管理工作</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保障保供应急队伍和物资通行。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2816" w:type="dxa"/>
            <w:gridSpan w:val="2"/>
            <w:vAlign w:val="top"/>
          </w:tcPr>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指挥机构</w:t>
            </w:r>
          </w:p>
        </w:tc>
        <w:tc>
          <w:tcPr>
            <w:tcW w:w="6271" w:type="dxa"/>
            <w:vAlign w:val="top"/>
          </w:tcPr>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798" w:type="dxa"/>
            <w:vMerge w:val="restart"/>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仿宋_GB2312" w:cs="Times New Roman"/>
                <w:sz w:val="32"/>
                <w:szCs w:val="32"/>
                <w:lang w:val="en-US" w:eastAsia="zh-CN"/>
              </w:rPr>
              <w:t>成员单位</w:t>
            </w:r>
          </w:p>
        </w:tc>
        <w:tc>
          <w:tcPr>
            <w:tcW w:w="2018" w:type="dxa"/>
            <w:vAlign w:val="center"/>
          </w:tcPr>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县</w:t>
            </w:r>
            <w:r>
              <w:rPr>
                <w:rFonts w:hint="default" w:ascii="Times New Roman" w:hAnsi="Times New Roman" w:eastAsia="仿宋_GB2312" w:cs="Times New Roman"/>
                <w:sz w:val="28"/>
                <w:szCs w:val="28"/>
                <w:lang w:val="en-US" w:eastAsia="zh-CN"/>
              </w:rPr>
              <w:t>民政局</w:t>
            </w:r>
          </w:p>
        </w:tc>
        <w:tc>
          <w:tcPr>
            <w:tcW w:w="6271" w:type="dxa"/>
            <w:vAlign w:val="center"/>
          </w:tcPr>
          <w:p>
            <w:pPr>
              <w:widowControl/>
              <w:numPr>
                <w:ilvl w:val="0"/>
                <w:numId w:val="0"/>
              </w:numPr>
              <w:wordWrap/>
              <w:topLinePunct/>
              <w:adjustRightInd/>
              <w:snapToGrid/>
              <w:spacing w:before="0" w:after="0" w:line="460" w:lineRule="exact"/>
              <w:ind w:left="0" w:leftChars="0" w:right="0" w:firstLine="480" w:firstLineChars="20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负责做好保供应急处置期间因气源不足造成的困难群众生活保障工作。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798" w:type="dxa"/>
            <w:vMerge w:val="continue"/>
            <w:vAlign w:val="top"/>
          </w:tcPr>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32"/>
                <w:szCs w:val="32"/>
                <w:lang w:val="en-US" w:eastAsia="zh-CN"/>
              </w:rPr>
            </w:pPr>
          </w:p>
        </w:tc>
        <w:tc>
          <w:tcPr>
            <w:tcW w:w="2018" w:type="dxa"/>
            <w:vAlign w:val="center"/>
          </w:tcPr>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县</w:t>
            </w:r>
            <w:r>
              <w:rPr>
                <w:rFonts w:hint="default" w:ascii="Times New Roman" w:hAnsi="Times New Roman" w:eastAsia="仿宋_GB2312" w:cs="Times New Roman"/>
                <w:sz w:val="28"/>
                <w:szCs w:val="28"/>
                <w:lang w:val="en-US" w:eastAsia="zh-CN"/>
              </w:rPr>
              <w:t>财政局</w:t>
            </w:r>
          </w:p>
        </w:tc>
        <w:tc>
          <w:tcPr>
            <w:tcW w:w="6271" w:type="dxa"/>
            <w:vAlign w:val="center"/>
          </w:tcPr>
          <w:p>
            <w:pPr>
              <w:widowControl/>
              <w:numPr>
                <w:ilvl w:val="0"/>
                <w:numId w:val="0"/>
              </w:numPr>
              <w:wordWrap/>
              <w:topLinePunct/>
              <w:adjustRightInd/>
              <w:snapToGrid/>
              <w:spacing w:before="0" w:after="0" w:line="460" w:lineRule="exact"/>
              <w:ind w:left="0" w:leftChars="0" w:right="0" w:firstLine="480" w:firstLineChars="20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负责安排县级迎峰度冬保障供气专项资金</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并负责专项资金的预算管理工作。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798" w:type="dxa"/>
            <w:vMerge w:val="continue"/>
            <w:vAlign w:val="top"/>
          </w:tcPr>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32"/>
                <w:szCs w:val="32"/>
                <w:lang w:val="en-US" w:eastAsia="zh-CN"/>
              </w:rPr>
            </w:pPr>
          </w:p>
        </w:tc>
        <w:tc>
          <w:tcPr>
            <w:tcW w:w="2018" w:type="dxa"/>
            <w:vAlign w:val="center"/>
          </w:tcPr>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县</w:t>
            </w:r>
            <w:r>
              <w:rPr>
                <w:rFonts w:hint="default" w:ascii="Times New Roman" w:hAnsi="Times New Roman" w:eastAsia="仿宋_GB2312" w:cs="Times New Roman"/>
                <w:sz w:val="28"/>
                <w:szCs w:val="28"/>
                <w:lang w:val="en-US" w:eastAsia="zh-CN"/>
              </w:rPr>
              <w:t>自然资源局</w:t>
            </w:r>
          </w:p>
        </w:tc>
        <w:tc>
          <w:tcPr>
            <w:tcW w:w="6271" w:type="dxa"/>
            <w:vAlign w:val="center"/>
          </w:tcPr>
          <w:p>
            <w:pPr>
              <w:widowControl/>
              <w:numPr>
                <w:ilvl w:val="0"/>
                <w:numId w:val="0"/>
              </w:numPr>
              <w:wordWrap/>
              <w:topLinePunct/>
              <w:adjustRightInd/>
              <w:snapToGrid/>
              <w:spacing w:before="0" w:after="0" w:line="460" w:lineRule="exact"/>
              <w:ind w:left="0" w:leftChars="0" w:right="0" w:firstLine="480" w:firstLineChars="20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根据预警或供需信息</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配合上级参与协调天然气供需失衡情况下煤层气抽采企业加大煤层气产量。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trPr>
        <w:tc>
          <w:tcPr>
            <w:tcW w:w="798" w:type="dxa"/>
            <w:vMerge w:val="continue"/>
            <w:vAlign w:val="top"/>
          </w:tcPr>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32"/>
                <w:szCs w:val="32"/>
                <w:lang w:val="en-US" w:eastAsia="zh-CN"/>
              </w:rPr>
            </w:pPr>
          </w:p>
        </w:tc>
        <w:tc>
          <w:tcPr>
            <w:tcW w:w="2018" w:type="dxa"/>
            <w:vAlign w:val="center"/>
          </w:tcPr>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县</w:t>
            </w:r>
            <w:r>
              <w:rPr>
                <w:rFonts w:hint="default" w:ascii="Times New Roman" w:hAnsi="Times New Roman" w:eastAsia="仿宋_GB2312" w:cs="Times New Roman"/>
                <w:sz w:val="28"/>
                <w:szCs w:val="28"/>
                <w:lang w:val="en-US" w:eastAsia="zh-CN"/>
              </w:rPr>
              <w:t>住建局</w:t>
            </w:r>
          </w:p>
        </w:tc>
        <w:tc>
          <w:tcPr>
            <w:tcW w:w="6271" w:type="dxa"/>
            <w:vAlign w:val="center"/>
          </w:tcPr>
          <w:p>
            <w:pPr>
              <w:widowControl/>
              <w:numPr>
                <w:ilvl w:val="0"/>
                <w:numId w:val="0"/>
              </w:numPr>
              <w:wordWrap/>
              <w:topLinePunct/>
              <w:adjustRightInd/>
              <w:snapToGrid/>
              <w:spacing w:before="0" w:after="0" w:line="460" w:lineRule="exact"/>
              <w:ind w:left="0" w:leftChars="0" w:right="0" w:firstLine="480" w:firstLineChars="20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负责收集汇总</w:t>
            </w:r>
            <w:r>
              <w:rPr>
                <w:rFonts w:hint="eastAsia" w:ascii="Times New Roman" w:hAnsi="Times New Roman" w:cs="Times New Roman"/>
                <w:sz w:val="24"/>
                <w:szCs w:val="24"/>
                <w:lang w:val="en-US" w:eastAsia="zh-CN"/>
              </w:rPr>
              <w:t>县</w:t>
            </w:r>
            <w:r>
              <w:rPr>
                <w:rFonts w:hint="default" w:ascii="Times New Roman" w:hAnsi="Times New Roman" w:eastAsia="宋体" w:cs="Times New Roman"/>
                <w:sz w:val="24"/>
                <w:szCs w:val="24"/>
                <w:lang w:val="en-US" w:eastAsia="zh-CN"/>
              </w:rPr>
              <w:t>城燃气供需信息</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具体指导城镇燃气企业的保供应急处置</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督促城燃企业落实5%年度用气量的储气调峰能力指标。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798" w:type="dxa"/>
            <w:vMerge w:val="continue"/>
            <w:vAlign w:val="top"/>
          </w:tcPr>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32"/>
                <w:szCs w:val="32"/>
                <w:lang w:val="en-US" w:eastAsia="zh-CN"/>
              </w:rPr>
            </w:pPr>
          </w:p>
        </w:tc>
        <w:tc>
          <w:tcPr>
            <w:tcW w:w="2018" w:type="dxa"/>
            <w:vAlign w:val="center"/>
          </w:tcPr>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县</w:t>
            </w:r>
            <w:r>
              <w:rPr>
                <w:rFonts w:hint="default" w:ascii="Times New Roman" w:hAnsi="Times New Roman" w:eastAsia="仿宋_GB2312" w:cs="Times New Roman"/>
                <w:sz w:val="28"/>
                <w:szCs w:val="28"/>
                <w:lang w:val="en-US" w:eastAsia="zh-CN"/>
              </w:rPr>
              <w:t>交通局</w:t>
            </w:r>
          </w:p>
        </w:tc>
        <w:tc>
          <w:tcPr>
            <w:tcW w:w="6271" w:type="dxa"/>
            <w:vAlign w:val="center"/>
          </w:tcPr>
          <w:p>
            <w:pPr>
              <w:widowControl/>
              <w:numPr>
                <w:ilvl w:val="0"/>
                <w:numId w:val="0"/>
              </w:numPr>
              <w:wordWrap/>
              <w:topLinePunct/>
              <w:adjustRightInd/>
              <w:snapToGrid/>
              <w:spacing w:before="0" w:after="0" w:line="460" w:lineRule="exact"/>
              <w:ind w:left="0" w:leftChars="0" w:right="0" w:firstLine="480" w:firstLineChars="20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负责协调保供应急物资运输车辆</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及时开通保供应急通道</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确保车辆快速通行。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798" w:type="dxa"/>
            <w:vMerge w:val="continue"/>
            <w:vAlign w:val="top"/>
          </w:tcPr>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32"/>
                <w:szCs w:val="32"/>
                <w:lang w:val="en-US" w:eastAsia="zh-CN"/>
              </w:rPr>
            </w:pPr>
          </w:p>
        </w:tc>
        <w:tc>
          <w:tcPr>
            <w:tcW w:w="2018" w:type="dxa"/>
            <w:vAlign w:val="center"/>
          </w:tcPr>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县</w:t>
            </w:r>
            <w:r>
              <w:rPr>
                <w:rFonts w:hint="default" w:ascii="Times New Roman" w:hAnsi="Times New Roman" w:eastAsia="仿宋_GB2312" w:cs="Times New Roman"/>
                <w:sz w:val="28"/>
                <w:szCs w:val="28"/>
                <w:lang w:val="en-US" w:eastAsia="zh-CN"/>
              </w:rPr>
              <w:t>应急局</w:t>
            </w:r>
          </w:p>
        </w:tc>
        <w:tc>
          <w:tcPr>
            <w:tcW w:w="6271" w:type="dxa"/>
            <w:vAlign w:val="center"/>
          </w:tcPr>
          <w:p>
            <w:pPr>
              <w:widowControl/>
              <w:numPr>
                <w:ilvl w:val="0"/>
                <w:numId w:val="0"/>
              </w:numPr>
              <w:wordWrap/>
              <w:topLinePunct/>
              <w:adjustRightInd/>
              <w:snapToGrid/>
              <w:spacing w:before="0" w:after="0" w:line="460" w:lineRule="exact"/>
              <w:ind w:left="0" w:leftChars="0" w:right="0"/>
              <w:jc w:val="both"/>
              <w:textAlignment w:val="auto"/>
              <w:outlineLvl w:val="9"/>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lang w:val="en-US" w:eastAsia="zh-CN"/>
              </w:rPr>
              <w:t>督促承担天然气保供的天然气液化调峰生产企业做好安全生产工作。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798" w:type="dxa"/>
            <w:vMerge w:val="continue"/>
            <w:vAlign w:val="top"/>
          </w:tcPr>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32"/>
                <w:szCs w:val="32"/>
                <w:lang w:val="en-US" w:eastAsia="zh-CN"/>
              </w:rPr>
            </w:pPr>
          </w:p>
        </w:tc>
        <w:tc>
          <w:tcPr>
            <w:tcW w:w="2018" w:type="dxa"/>
            <w:vAlign w:val="center"/>
          </w:tcPr>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县</w:t>
            </w:r>
            <w:r>
              <w:rPr>
                <w:rFonts w:hint="default" w:ascii="Times New Roman" w:hAnsi="Times New Roman" w:eastAsia="仿宋_GB2312" w:cs="Times New Roman"/>
                <w:sz w:val="28"/>
                <w:szCs w:val="28"/>
                <w:lang w:val="en-US" w:eastAsia="zh-CN"/>
              </w:rPr>
              <w:t>能源局</w:t>
            </w:r>
          </w:p>
        </w:tc>
        <w:tc>
          <w:tcPr>
            <w:tcW w:w="6271" w:type="dxa"/>
            <w:vAlign w:val="center"/>
          </w:tcPr>
          <w:p>
            <w:pPr>
              <w:widowControl/>
              <w:numPr>
                <w:ilvl w:val="0"/>
                <w:numId w:val="0"/>
              </w:numPr>
              <w:wordWrap/>
              <w:topLinePunct/>
              <w:adjustRightInd/>
              <w:snapToGrid/>
              <w:spacing w:before="0" w:after="0" w:line="460" w:lineRule="exact"/>
              <w:ind w:left="0" w:leftChars="0" w:right="0"/>
              <w:jc w:val="both"/>
              <w:textAlignment w:val="auto"/>
              <w:outlineLvl w:val="9"/>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lang w:val="en-US" w:eastAsia="zh-CN"/>
              </w:rPr>
              <w:t>负责能源预测预警</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监测全县能源发展状况</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参与能源运行调节和应急保障</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主管天然气长输管道建设和保护工作。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vMerge w:val="continue"/>
            <w:vAlign w:val="top"/>
          </w:tcPr>
          <w:p>
            <w:pPr>
              <w:widowControl/>
              <w:numPr>
                <w:ilvl w:val="0"/>
                <w:numId w:val="0"/>
              </w:numPr>
              <w:wordWrap/>
              <w:topLinePunct/>
              <w:adjustRightInd/>
              <w:snapToGrid/>
              <w:spacing w:line="600" w:lineRule="exact"/>
              <w:jc w:val="center"/>
              <w:textAlignment w:val="auto"/>
              <w:rPr>
                <w:rFonts w:hint="default" w:ascii="Times New Roman" w:hAnsi="Times New Roman" w:eastAsia="仿宋_GB2312" w:cs="Times New Roman"/>
                <w:sz w:val="32"/>
                <w:szCs w:val="32"/>
                <w:lang w:val="en-US" w:eastAsia="zh-CN"/>
              </w:rPr>
            </w:pPr>
          </w:p>
        </w:tc>
        <w:tc>
          <w:tcPr>
            <w:tcW w:w="2018" w:type="dxa"/>
            <w:vAlign w:val="center"/>
          </w:tcPr>
          <w:p>
            <w:pPr>
              <w:widowControl/>
              <w:numPr>
                <w:ilvl w:val="0"/>
                <w:numId w:val="0"/>
              </w:numPr>
              <w:wordWrap/>
              <w:topLinePunct/>
              <w:adjustRightInd/>
              <w:snapToGrid/>
              <w:spacing w:line="600" w:lineRule="exact"/>
              <w:ind w:left="0" w:leftChars="0"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山西压缩天然气</w:t>
            </w:r>
            <w:r>
              <w:rPr>
                <w:rFonts w:hint="default" w:ascii="Times New Roman" w:hAnsi="Times New Roman" w:eastAsia="仿宋_GB2312" w:cs="Times New Roman"/>
                <w:sz w:val="28"/>
                <w:szCs w:val="28"/>
              </w:rPr>
              <w:t>集团</w:t>
            </w:r>
            <w:r>
              <w:rPr>
                <w:rFonts w:hint="default" w:ascii="Times New Roman" w:hAnsi="Times New Roman" w:eastAsia="仿宋_GB2312" w:cs="Times New Roman"/>
                <w:sz w:val="28"/>
                <w:szCs w:val="28"/>
                <w:lang w:val="en-US" w:eastAsia="zh-CN"/>
              </w:rPr>
              <w:t>宁武有限公司</w:t>
            </w:r>
          </w:p>
        </w:tc>
        <w:tc>
          <w:tcPr>
            <w:tcW w:w="6271" w:type="dxa"/>
            <w:vAlign w:val="center"/>
          </w:tcPr>
          <w:p>
            <w:pPr>
              <w:widowControl/>
              <w:numPr>
                <w:ilvl w:val="0"/>
                <w:numId w:val="0"/>
              </w:numPr>
              <w:wordWrap/>
              <w:topLinePunct/>
              <w:adjustRightInd/>
              <w:snapToGrid/>
              <w:spacing w:before="0" w:after="0" w:line="460" w:lineRule="exact"/>
              <w:ind w:left="0" w:leftChars="0" w:right="0" w:firstLine="480" w:firstLineChars="200"/>
              <w:jc w:val="both"/>
              <w:textAlignment w:val="auto"/>
              <w:outlineLvl w:val="9"/>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lang w:val="en-US" w:eastAsia="zh-CN"/>
              </w:rPr>
              <w:t>全面保障迎峰度冬保供指令的落实工作</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负责应急气源的储备及调配</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协调上游供气企业争取应急气源</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做好应急情况下的气源供应保障</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加强天然气输气管网指挥调度</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做好</w:t>
            </w:r>
            <w:r>
              <w:rPr>
                <w:rFonts w:hint="eastAsia" w:ascii="Times New Roman" w:hAnsi="Times New Roman" w:cs="Times New Roman"/>
                <w:sz w:val="24"/>
                <w:szCs w:val="24"/>
                <w:lang w:val="en-US" w:eastAsia="zh-CN"/>
              </w:rPr>
              <w:t>县</w:t>
            </w:r>
            <w:r>
              <w:rPr>
                <w:rFonts w:hint="default" w:ascii="Times New Roman" w:hAnsi="Times New Roman" w:eastAsia="宋体" w:cs="Times New Roman"/>
                <w:sz w:val="24"/>
                <w:szCs w:val="24"/>
                <w:lang w:val="en-US" w:eastAsia="zh-CN"/>
              </w:rPr>
              <w:t>城燃气供应。</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4F1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2021-11-10T03:58:38Z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C089020628074104AC62F4E1B04BDF21</vt:lpwstr>
  </property>
</Properties>
</file>