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8BE66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宁武县人力资源和社会保障局</w:t>
      </w:r>
    </w:p>
    <w:p w14:paraId="0A79E95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44ADE48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和《山西省政府信息公开规定》，按照忻州市、宁武县政府关于政府信息公开的有关精神，切实加强组织领导，建立健全政府信息公开组织机构，制定完善政府信息公开工作制度，规范政府信息公开工作流程，采取各种有效措施，积极推进政府信息公开工作，在加强制度建设、深化公开内容、拓展公开形式等方面取得了较好成效，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年政府信息公开工作情况报告如下：</w:t>
      </w:r>
    </w:p>
    <w:p w14:paraId="0E445AD8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 w14:paraId="600C25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</w:t>
      </w:r>
      <w:r>
        <w:rPr>
          <w:rFonts w:hint="eastAsia" w:ascii="仿宋" w:hAnsi="仿宋" w:eastAsia="仿宋" w:cs="仿宋"/>
          <w:sz w:val="32"/>
          <w:szCs w:val="32"/>
        </w:rPr>
        <w:t>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375条。其中：主动公开政府信息情况189条，收到和处理政府信息公开申请共186条。主要的做法是：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 w14:paraId="1704FD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</w:rPr>
        <w:t>按照《条例》和县政府相关规定，我局及时成立了以局长为组长，分管局长具体负责，相关科室（单位）负责人共同参与的政府信息公开工作领导小组，明确由局办公室统一组织政务公开和政府信息公开（以下简称“两个公开”）工作，领导小组下设办公室，负责本机关及所属单位政府信息公开工作日常事务。各下属单位也同时明确了具体分管领导，并指定专人负责信息公开工作，落实了领导责任和工作责任。　　</w:t>
      </w:r>
    </w:p>
    <w:p w14:paraId="3FCA94B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（二）健全工作制度。2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完善了宁武县人力资源和社会保障局主动公开政府信息等工作制度、政府信息公开保密审查制度等，规范了主动公开政府信息、政府信息公开保密审查、依申请公开政府信息、政府信息公开工作年度报告，并制定了相关规范性申请表格、告知文书等，使我局政府信息公开工作步入制度化、规范化运行轨道。　　</w:t>
      </w:r>
    </w:p>
    <w:p w14:paraId="3DE8E56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（三）完善公开平台。</w:t>
      </w:r>
      <w:r>
        <w:rPr>
          <w:rFonts w:hint="eastAsia" w:ascii="仿宋" w:hAnsi="仿宋" w:eastAsia="仿宋" w:cs="仿宋"/>
          <w:sz w:val="32"/>
          <w:szCs w:val="32"/>
        </w:rPr>
        <w:t>把宁武县政府门户网站作为政府信息公开第一平台，开设政府信息公开专栏，发布人社工作信息，做到及时、全面、准确、便民，并随时更新政府信息公开目录等各类主动公开信息；在局机关、所属单位大厅及办事机构明显位置设置信息公开版面，把相关的办事依据、流程、注意事项及公众应该知道的信息予以公布；与县电视台、宁武报等县内主流媒体加强合作，把与人民群众切身利益密切相关的有关信息及时公布，方便群众查询使用。　　</w:t>
      </w:r>
    </w:p>
    <w:p w14:paraId="7C953F8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（四）规范公开内容。</w:t>
      </w:r>
      <w:r>
        <w:rPr>
          <w:rFonts w:hint="eastAsia" w:ascii="仿宋" w:hAnsi="仿宋" w:eastAsia="仿宋" w:cs="仿宋"/>
          <w:sz w:val="32"/>
          <w:szCs w:val="32"/>
        </w:rPr>
        <w:t>我们在政务公开工作中坚持“公开是原则，不公开是例外”的工作原则，对凡是运用行政权力办理的与群众利益相关的各类事项，除涉密信息外，原则上全部实行公开。　　</w:t>
      </w:r>
    </w:p>
    <w:p w14:paraId="66CFA47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（五）强化社会监督。</w:t>
      </w:r>
      <w:r>
        <w:rPr>
          <w:rFonts w:hint="eastAsia" w:ascii="仿宋" w:hAnsi="仿宋" w:eastAsia="仿宋" w:cs="仿宋"/>
          <w:sz w:val="32"/>
          <w:szCs w:val="32"/>
        </w:rPr>
        <w:t>把政府信息公开工作纳入综合工作考核范围，接受各界公开评议。一是加强内部监督，二是聘请社会行风评议员，三是设立举报信箱和举报电话，多措并举，增加行政透明度，推行阳光政务。　　</w:t>
      </w:r>
    </w:p>
    <w:p w14:paraId="61D15F09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二、主动公开政府信息情况　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4245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4AEFF217"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2BC4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32C51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210D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本年新</w:t>
            </w:r>
          </w:p>
          <w:p w14:paraId="4217C3E3">
            <w:r>
              <w:rPr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2D9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本年新</w:t>
            </w:r>
          </w:p>
          <w:p w14:paraId="3E4081C4">
            <w:r>
              <w:rPr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5DEB1">
            <w:r>
              <w:rPr>
                <w:rFonts w:hint="eastAsia"/>
                <w:lang w:val="en-US" w:eastAsia="zh-CN"/>
              </w:rPr>
              <w:t>对外公开总数量</w:t>
            </w:r>
          </w:p>
        </w:tc>
      </w:tr>
      <w:tr w14:paraId="16EA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EEBD7"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776F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A2EAE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F6CC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1762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E7F61">
            <w:r>
              <w:rPr>
                <w:rFonts w:hint="eastAsia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1859F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996A2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306BF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33B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4616FF85"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126D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A7303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7DB66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A9F17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C8AAE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65D5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6B04D"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D3F90">
            <w:r>
              <w:rPr>
                <w:rFonts w:hint="eastAsia"/>
                <w:lang w:val="en-US" w:eastAsia="zh-CN"/>
              </w:rPr>
              <w:t>0件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5FE72">
            <w:r>
              <w:rPr>
                <w:rFonts w:hint="eastAsia"/>
                <w:lang w:val="en-US" w:eastAsia="zh-CN"/>
              </w:rPr>
              <w:t>0件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06E79">
            <w:r>
              <w:rPr>
                <w:rFonts w:hint="eastAsia"/>
                <w:lang w:val="en-US" w:eastAsia="zh-CN"/>
              </w:rPr>
              <w:t>0件</w:t>
            </w:r>
          </w:p>
        </w:tc>
      </w:tr>
      <w:tr w14:paraId="0E19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4FEAA">
            <w:r>
              <w:rPr>
                <w:rFonts w:hint="eastAsia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26EDC">
            <w:r>
              <w:rPr>
                <w:rFonts w:hint="eastAsia"/>
                <w:lang w:val="en-US" w:eastAsia="zh-CN"/>
              </w:rPr>
              <w:t>133项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F6BBA"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401CC">
            <w:r>
              <w:rPr>
                <w:rFonts w:hint="eastAsia"/>
                <w:lang w:val="en-US" w:eastAsia="zh-CN"/>
              </w:rPr>
              <w:t>134项</w:t>
            </w:r>
          </w:p>
        </w:tc>
      </w:tr>
      <w:tr w14:paraId="703D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370553CA"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2B71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B8DB2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84C1B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FFE64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8A574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4A86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1C37B"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37376">
            <w:r>
              <w:rPr>
                <w:rFonts w:hint="eastAsia"/>
                <w:lang w:val="en-US" w:eastAsia="zh-CN"/>
              </w:rPr>
              <w:t>0件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82BE6">
            <w:r>
              <w:rPr>
                <w:rFonts w:hint="eastAsia"/>
                <w:lang w:val="en-US" w:eastAsia="zh-CN"/>
              </w:rPr>
              <w:t>　0件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50473">
            <w:r>
              <w:rPr>
                <w:rFonts w:hint="eastAsia"/>
                <w:lang w:val="en-US" w:eastAsia="zh-CN"/>
              </w:rPr>
              <w:t>0件</w:t>
            </w:r>
          </w:p>
        </w:tc>
      </w:tr>
      <w:tr w14:paraId="5CFC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86949"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5D0CE">
            <w:r>
              <w:rPr>
                <w:rFonts w:hint="eastAsia"/>
                <w:lang w:val="en-US" w:eastAsia="zh-CN"/>
              </w:rPr>
              <w:t>0件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6D9E6">
            <w:r>
              <w:rPr>
                <w:rFonts w:hint="eastAsia"/>
                <w:lang w:val="en-US" w:eastAsia="zh-CN"/>
              </w:rPr>
              <w:t>　0件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10FD2">
            <w:r>
              <w:rPr>
                <w:rFonts w:hint="eastAsia"/>
                <w:lang w:val="en-US" w:eastAsia="zh-CN"/>
              </w:rPr>
              <w:t>0件</w:t>
            </w:r>
          </w:p>
        </w:tc>
      </w:tr>
      <w:tr w14:paraId="3242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108EBD51"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1865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E036C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EA63A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47700">
            <w:r>
              <w:rPr>
                <w:rFonts w:hint="eastAsia"/>
                <w:lang w:val="en-US" w:eastAsia="zh-CN"/>
              </w:rPr>
              <w:t>本年增/减</w:t>
            </w:r>
          </w:p>
        </w:tc>
      </w:tr>
      <w:tr w14:paraId="522A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D4423"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A2009">
            <w:r>
              <w:rPr>
                <w:rFonts w:hint="eastAsia"/>
                <w:lang w:val="en-US" w:eastAsia="zh-CN"/>
              </w:rPr>
              <w:t>0件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40184">
            <w:r>
              <w:rPr>
                <w:rFonts w:hint="eastAsia"/>
                <w:lang w:val="en-US" w:eastAsia="zh-CN"/>
              </w:rPr>
              <w:t>0件 </w:t>
            </w:r>
          </w:p>
        </w:tc>
      </w:tr>
      <w:tr w14:paraId="268C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 w14:paraId="7E9CD4CE"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第二十条第（九）项</w:t>
            </w:r>
          </w:p>
        </w:tc>
      </w:tr>
      <w:tr w14:paraId="7703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9018F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04B76">
            <w:r>
              <w:rPr>
                <w:rFonts w:hint="eastAsia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96E56">
            <w:r>
              <w:rPr>
                <w:rFonts w:hint="eastAsia"/>
                <w:lang w:val="en-US" w:eastAsia="zh-CN"/>
              </w:rPr>
              <w:t>采购总金额</w:t>
            </w:r>
          </w:p>
        </w:tc>
      </w:tr>
      <w:tr w14:paraId="07BF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B92DB">
            <w:r>
              <w:rPr>
                <w:rFonts w:hint="eastAsia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F8A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9A7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81.48万元</w:t>
            </w:r>
          </w:p>
        </w:tc>
      </w:tr>
    </w:tbl>
    <w:p w14:paraId="63A9AFED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EEED1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E09CC"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0B252"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77D838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4ED8C">
            <w:pPr>
              <w:rPr>
                <w:rFonts w:hint="eastAsia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12F1B"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07780"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877EE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72343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AC861">
            <w:pPr>
              <w:rPr>
                <w:rFonts w:hint="eastAsia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972CE">
            <w:pPr>
              <w:rPr>
                <w:rFonts w:hint="eastAsia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B5F47">
            <w:r>
              <w:rPr>
                <w:rFonts w:hint="eastAsia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1ED71"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BDF03"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98EAA"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27C6A"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312CE">
            <w:pPr>
              <w:rPr>
                <w:rFonts w:hint="eastAsia"/>
              </w:rPr>
            </w:pPr>
          </w:p>
        </w:tc>
      </w:tr>
      <w:tr w14:paraId="2E9089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1BBB1"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C5C415">
            <w:r>
              <w:rPr>
                <w:rFonts w:hint="eastAsia"/>
                <w:lang w:val="en-US" w:eastAsia="zh-CN"/>
              </w:rPr>
              <w:t>186</w:t>
            </w:r>
            <w:r>
              <w:rPr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C425D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5926BE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2A25E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AA1E6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E5820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D8371">
            <w:r>
              <w:rPr>
                <w:rFonts w:hint="eastAsia"/>
                <w:lang w:val="en-US" w:eastAsia="zh-CN"/>
              </w:rPr>
              <w:t>186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4EA0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A8C60"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31C7D"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047EF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A6292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B213B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D69FF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1F665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82AE7"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897E5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5AC72"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7CAD86">
            <w:r>
              <w:rPr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A1516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F3F5F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543A9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2353E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BDBC6"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CCFF0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B2595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186</w:t>
            </w:r>
          </w:p>
        </w:tc>
      </w:tr>
      <w:tr w14:paraId="664E74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38A5B">
            <w:pPr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BA805"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5DA9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A9C3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8AA2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D8E5D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2060F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EAF4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3D8AB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AC311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F1906">
            <w:pPr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E1761"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8920A"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899C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4D77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AA0D6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E784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57AF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E2211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00CC7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D5D8B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74B4B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690E9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F9AFE"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8F2C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A8164E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1D86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5D5B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1359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E743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3A5D8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07977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D212E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0740C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71422"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38F61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6DD5B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79A93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F23C6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5B58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EA16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F9500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980A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B4C4A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D6F6A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F3575"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EED9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890A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DE4AC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056E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EFC2B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E55C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F4897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D822E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CC9AE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D67B33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52D11"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278FC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F534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C721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E650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D65B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B995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F2DE9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6B62B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50595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765EE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B3351"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423B8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2468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D462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6150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EB91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7E7A6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09CA7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5D08F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B2A452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C9A82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2EB60"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10000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FDB0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04C4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CA69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E89C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CACB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4A8E6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4AFA2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5A03F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38EE08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112A2"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8A32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6DD5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D24C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D1FC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9F2B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AC26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77C55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FB59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818A7">
            <w:pPr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371F4"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AD00C"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10203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C913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8D74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F55F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715DC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632E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AA6F1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F96A2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F4D60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5B1FE4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BBFEC"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08F1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F862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CC55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69DE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DEC6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61BE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D6E4E4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96D7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D0600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64607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308EA"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AA6E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F3DF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4586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1E8F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CBDBB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EC99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A96E0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947E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109D33">
            <w:pPr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DDD77"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BBDDF"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D9C9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1502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66D851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CF21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662B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FD579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1574D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4EBD1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D8AEF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E7241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2088C"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EC6C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B7EB6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6347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EDEE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C79A1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2096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8B938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AF4C2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50A25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0B24D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02246"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F0E6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4FF4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10A2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C900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D9ADE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A88BE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77E6E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D5546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74567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E2B9A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F67E8"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839DC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2F813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854E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5865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AC94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DDCA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8AC62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BED01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E6C57">
            <w:pPr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302AA">
            <w:pPr>
              <w:rPr>
                <w:rFonts w:hint="eastAsi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E1252"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898B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A552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A463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987A7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8667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8046B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2B660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B497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1EDDE">
            <w:pPr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B85127"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F2DD8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B6CC6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0CE4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1477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420E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FB03C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320B4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03208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8E7D5">
            <w:pPr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081FF"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E12B3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EC162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81000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5DE0C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88A2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A43F5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2E8B7"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52B8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76B6A"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FF584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6DC6C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15AEA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2E52D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BF619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D51EF"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69CFA">
            <w:pPr>
              <w:rPr>
                <w:rFonts w:hint="eastAsia"/>
              </w:rPr>
            </w:pPr>
          </w:p>
        </w:tc>
      </w:tr>
    </w:tbl>
    <w:p w14:paraId="2CAE984A">
      <w:pPr>
        <w:rPr>
          <w:rFonts w:hint="eastAsia"/>
        </w:rPr>
      </w:pPr>
    </w:p>
    <w:p w14:paraId="5ABA2FC9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6DC2EC7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90E8D6E">
      <w:pPr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四、政府信息公开行政复议、行政诉讼情况</w:t>
      </w:r>
    </w:p>
    <w:p w14:paraId="589591E1">
      <w:pPr>
        <w:rPr>
          <w:rFonts w:hint="eastAsia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63381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13267"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695F8"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4346A4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4FAE5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5D8E96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812B4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CE922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8BABA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51009"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C19DE0"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370AF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9976E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AE581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1D95A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CB3CD">
            <w:pPr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1E5AB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90235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F955B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79C51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9BAEE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CDFFB0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E3D949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A9616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A7714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D0E13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EB3DE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0DD0D1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FE7CA"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92F33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440EA"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500D0"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4C3D3"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59301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10783">
            <w:r>
              <w:rPr>
                <w:rFonts w:hint="eastAsia"/>
                <w:lang w:val="en-US" w:eastAsia="zh-CN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57E65"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CB119">
            <w:r>
              <w:rPr>
                <w:rFonts w:hint="eastAsia"/>
                <w:lang w:val="en-US" w:eastAsia="zh-CN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515E2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04F1E"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75F3B"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3FD92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CD3EA"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61B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1A24B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A5D5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205B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F26F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D2A0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58A8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FA23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7696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4BA6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8840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23F4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DD84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C659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980E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B1C1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4422B">
            <w:pPr>
              <w:rPr>
                <w:rFonts w:hint="eastAsia"/>
                <w:lang w:val="en-US" w:eastAsia="zh-CN"/>
              </w:rPr>
            </w:pPr>
          </w:p>
        </w:tc>
      </w:tr>
    </w:tbl>
    <w:p w14:paraId="2207CF86"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存在的主要问题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及改进情况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　　</w:t>
      </w:r>
    </w:p>
    <w:p w14:paraId="2B41FDC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，我局政府信息公开工作通过完善政府信息公开制度、加强督查检查等措施有序开展，取得了较好成效，但也还存在着一些不足，例如政府信息公开内容与公众的需求存在一定差距、网上审批工作有待进一步完善、信息公开工作人员的业务素质和能力还有待进一步提高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我们针对存在的问题</w:t>
      </w:r>
      <w:r>
        <w:rPr>
          <w:rFonts w:hint="eastAsia" w:ascii="仿宋" w:hAnsi="仿宋" w:eastAsia="仿宋" w:cs="仿宋"/>
          <w:sz w:val="32"/>
          <w:szCs w:val="32"/>
        </w:rPr>
        <w:t>重点做好以下几项工作:</w:t>
      </w:r>
    </w:p>
    <w:p w14:paraId="4976FCB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一是认真组织学习有关政务信息公开工作的法规、政策，提高政务信息公开工作重要性的认识，不断增强政务信息公开工作的自觉性。强化信息公开、网上公开、网民互动，扩大信息公开的覆盖面与影响力。</w:t>
      </w:r>
    </w:p>
    <w:p w14:paraId="78C09DA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进一步建立、完善和拓展信息公开的内容及形式。全面启动门户网站在信息公开和便民服务中的各项功能，重点抓好网上查询、网上审批等服务功能的完善，及时向广大群众发布最新政策，让他们第一时间准确了解切身利益相关的人社最新政策。</w:t>
      </w:r>
    </w:p>
    <w:p w14:paraId="1A2A9B3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三是加强对政务信息公开工作人员的培训，不断提升能力素质，确保信息提供准确及时安全，推动我局政务信息公开工作再上新台阶。</w:t>
      </w:r>
    </w:p>
    <w:p w14:paraId="13E95C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D23C2A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F310ECD"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宁武县人力资源和社会保障局  </w:t>
      </w:r>
    </w:p>
    <w:p w14:paraId="1E9AF6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 w14:paraId="13FCD5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62E5"/>
    <w:rsid w:val="29E3007E"/>
    <w:rsid w:val="3E2C1E57"/>
    <w:rsid w:val="62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2187</Words>
  <Characters>2248</Characters>
  <Lines>0</Lines>
  <Paragraphs>0</Paragraphs>
  <TotalTime>99</TotalTime>
  <ScaleCrop>false</ScaleCrop>
  <LinksUpToDate>false</LinksUpToDate>
  <CharactersWithSpaces>2459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2025-01-22T07:36:00Z</dcterms:created>
  <dc:creator>Administrator</dc:creator>
  <cp:lastModifiedBy>空房子</cp:lastModifiedBy>
  <cp:lastPrinted>2025-01-22T08:08:00Z</cp:lastPrinted>
  <dcterms:modified xsi:type="dcterms:W3CDTF">2025-01-29T12:27:23Z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eyJoZGlkIjoiYzZjNDUxODc5M2NlNWM1Y2QwNzFjNDJlNjEzMjBkMDEiLCJ1c2VySWQiOiIyNjk1MTI5MDYifQ==</vt:lpwstr>
  </property>
  <property fmtid="{D5CDD505-2E9C-101B-9397-08002B2CF9AE}" pid="4" name="ICV">
    <vt:lpwstr>1304478716874869B9B82EFDF29AC7F2_12</vt:lpwstr>
  </property>
</Properties>
</file>