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35DC7">
      <w:pPr>
        <w:pStyle w:val="21"/>
        <w:keepNext w:val="0"/>
        <w:keepLines w:val="0"/>
        <w:pageBreakBefore w:val="0"/>
        <w:widowControl w:val="0"/>
        <w:kinsoku/>
        <w:wordWrap w:val="0"/>
        <w:overflowPunct/>
        <w:topLinePunct/>
        <w:autoSpaceDE/>
        <w:autoSpaceDN/>
        <w:bidi w:val="0"/>
        <w:adjustRightInd w:val="0"/>
        <w:snapToGrid w:val="0"/>
        <w:spacing w:after="0" w:afterLines="0" w:line="600" w:lineRule="exact"/>
        <w:jc w:val="both"/>
        <w:textAlignment w:val="baseline"/>
        <w:rPr>
          <w:rFonts w:hint="eastAsia"/>
          <w:lang w:val="en-US" w:eastAsia="zh-CN"/>
        </w:rPr>
      </w:pPr>
    </w:p>
    <w:p w14:paraId="728C5E8F">
      <w:pPr>
        <w:pStyle w:val="19"/>
        <w:rPr>
          <w:rFonts w:hint="eastAsia"/>
          <w:lang w:val="en-US" w:eastAsia="zh-CN"/>
        </w:rPr>
      </w:pPr>
      <w:bookmarkStart w:id="0" w:name="_GoBack"/>
      <w:bookmarkEnd w:id="0"/>
    </w:p>
    <w:p w14:paraId="123CF4DA">
      <w:pPr>
        <w:pStyle w:val="21"/>
        <w:keepNext w:val="0"/>
        <w:keepLines w:val="0"/>
        <w:pageBreakBefore w:val="0"/>
        <w:widowControl w:val="0"/>
        <w:kinsoku/>
        <w:wordWrap w:val="0"/>
        <w:overflowPunct/>
        <w:topLinePunct/>
        <w:autoSpaceDE/>
        <w:autoSpaceDN/>
        <w:bidi w:val="0"/>
        <w:adjustRightInd w:val="0"/>
        <w:snapToGrid w:val="0"/>
        <w:spacing w:after="0" w:afterLines="0" w:line="600" w:lineRule="exact"/>
        <w:jc w:val="center"/>
        <w:textAlignment w:val="baseline"/>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宁武县财政局</w:t>
      </w:r>
    </w:p>
    <w:p w14:paraId="50192408">
      <w:pPr>
        <w:keepNext w:val="0"/>
        <w:pageBreakBefore w:val="0"/>
        <w:overflowPunct/>
        <w:topLinePunct/>
        <w:bidi w:val="0"/>
        <w:adjustRightInd w:val="0"/>
        <w:snapToGrid w:val="0"/>
        <w:spacing w:line="600" w:lineRule="exact"/>
        <w:jc w:val="center"/>
        <w:textAlignment w:val="baseline"/>
        <w:rPr>
          <w:rFonts w:hint="eastAsia"/>
          <w:b/>
          <w:bCs/>
          <w:sz w:val="44"/>
          <w:szCs w:val="44"/>
        </w:rPr>
      </w:pPr>
      <w:r>
        <w:rPr>
          <w:rFonts w:hint="eastAsia" w:ascii="方正小标宋简体" w:hAnsi="方正小标宋简体" w:eastAsia="方正小标宋简体" w:cs="方正小标宋简体"/>
          <w:b w:val="0"/>
          <w:bCs w:val="0"/>
          <w:sz w:val="44"/>
          <w:szCs w:val="44"/>
          <w:lang w:val="en-US" w:eastAsia="zh-CN"/>
        </w:rPr>
        <w:t>2024年</w:t>
      </w:r>
      <w:r>
        <w:rPr>
          <w:rFonts w:hint="eastAsia" w:ascii="方正小标宋简体" w:hAnsi="方正小标宋简体" w:eastAsia="方正小标宋简体" w:cs="方正小标宋简体"/>
          <w:b w:val="0"/>
          <w:bCs w:val="0"/>
          <w:sz w:val="44"/>
          <w:szCs w:val="44"/>
        </w:rPr>
        <w:t>政府信息公开工作年度报告</w:t>
      </w:r>
    </w:p>
    <w:p w14:paraId="085E84AD">
      <w:pPr>
        <w:keepNext w:val="0"/>
        <w:pageBreakBefore w:val="0"/>
        <w:overflowPunct/>
        <w:topLinePunct/>
        <w:bidi w:val="0"/>
        <w:adjustRightInd w:val="0"/>
        <w:snapToGrid w:val="0"/>
        <w:spacing w:line="600" w:lineRule="exact"/>
        <w:ind w:firstLine="640" w:firstLineChars="200"/>
        <w:jc w:val="center"/>
        <w:textAlignment w:val="baseline"/>
        <w:rPr>
          <w:rFonts w:hint="eastAsia" w:ascii="仿宋" w:hAnsi="仿宋" w:eastAsia="仿宋" w:cs="仿宋"/>
          <w:sz w:val="32"/>
          <w:szCs w:val="32"/>
        </w:rPr>
      </w:pPr>
    </w:p>
    <w:p w14:paraId="49BF0517">
      <w:pPr>
        <w:keepNext w:val="0"/>
        <w:pageBreakBefore w:val="0"/>
        <w:overflowPunct/>
        <w:topLinePunct/>
        <w:bidi w:val="0"/>
        <w:adjustRightInd w:val="0"/>
        <w:snapToGrid w:val="0"/>
        <w:spacing w:line="600" w:lineRule="exact"/>
        <w:ind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本年度报告</w:t>
      </w:r>
      <w:r>
        <w:rPr>
          <w:rFonts w:hint="eastAsia" w:ascii="Times New Roman" w:hAnsi="Times New Roman" w:eastAsia="仿宋" w:cs="仿宋"/>
          <w:sz w:val="32"/>
          <w:szCs w:val="32"/>
        </w:rPr>
        <w:t>根据《中华人民共和国政府信息公开条例》以及《中华人民共和国政府信息公开工作年度报告格式》（国办公开办函〔2021) 30号）等文件规定编制</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现公布</w:t>
      </w:r>
      <w:r>
        <w:rPr>
          <w:rFonts w:hint="eastAsia" w:ascii="Times New Roman" w:hAnsi="Times New Roman" w:eastAsia="仿宋" w:cs="仿宋"/>
          <w:sz w:val="32"/>
          <w:szCs w:val="32"/>
          <w:lang w:eastAsia="zh-CN"/>
        </w:rPr>
        <w:t>宁武县</w:t>
      </w:r>
      <w:r>
        <w:rPr>
          <w:rFonts w:hint="eastAsia" w:ascii="Times New Roman" w:hAnsi="Times New Roman" w:eastAsia="仿宋" w:cs="仿宋"/>
          <w:sz w:val="32"/>
          <w:szCs w:val="32"/>
        </w:rPr>
        <w:t>财政局202</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年政府信息公开工作年度报告。本报告由总体情况、主动公开政府信息情况、收到和处理政府信息公开申请情况、政府信息公开行政复议、行政诉讼情况以及政府信息公开工作存在的主要问题及改进情况组成，内容涵盖</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财政局202</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年1月1日至12月31日期间的政府信息公开工作情况。</w:t>
      </w:r>
    </w:p>
    <w:p w14:paraId="51C46E98">
      <w:pPr>
        <w:keepNext w:val="0"/>
        <w:pageBreakBefore w:val="0"/>
        <w:overflowPunct/>
        <w:topLinePunct/>
        <w:bidi w:val="0"/>
        <w:adjustRightInd w:val="0"/>
        <w:snapToGrid w:val="0"/>
        <w:spacing w:line="600" w:lineRule="exact"/>
        <w:ind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黑体" w:cs="黑体"/>
          <w:sz w:val="32"/>
          <w:szCs w:val="32"/>
        </w:rPr>
        <w:t>一、总体情况</w:t>
      </w:r>
    </w:p>
    <w:p w14:paraId="7E6EE497">
      <w:pPr>
        <w:keepNext w:val="0"/>
        <w:pageBreakBefore w:val="0"/>
        <w:overflowPunct/>
        <w:topLinePunct/>
        <w:bidi w:val="0"/>
        <w:adjustRightInd w:val="0"/>
        <w:snapToGrid w:val="0"/>
        <w:spacing w:line="600" w:lineRule="exact"/>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　　202</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年，按照《中华人民共和国政府信息公开条例》以及中央、省</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市</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有关做好财政信息公开工作的要求，</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财政局坚持以公开为常态、不公开为例外，按照《中华人民共和国政府信息公开条例》规定，及时、准确地公开相关财政信息，扎实做好财政信息公开工作。</w:t>
      </w:r>
    </w:p>
    <w:p w14:paraId="2D4E0E89">
      <w:pPr>
        <w:keepNext w:val="0"/>
        <w:pageBreakBefore w:val="0"/>
        <w:overflowPunct/>
        <w:topLinePunct/>
        <w:bidi w:val="0"/>
        <w:adjustRightInd w:val="0"/>
        <w:snapToGrid w:val="0"/>
        <w:spacing w:line="600" w:lineRule="exact"/>
        <w:ind w:firstLine="640"/>
        <w:jc w:val="both"/>
        <w:textAlignment w:val="baseline"/>
        <w:rPr>
          <w:rFonts w:hint="eastAsia" w:ascii="Times New Roman" w:hAnsi="Times New Roman" w:eastAsia="仿宋" w:cs="仿宋"/>
          <w:sz w:val="32"/>
          <w:szCs w:val="32"/>
        </w:rPr>
      </w:pPr>
      <w:r>
        <w:rPr>
          <w:rFonts w:hint="eastAsia" w:ascii="Times New Roman" w:hAnsi="Times New Roman" w:eastAsia="仿宋" w:cs="仿宋"/>
          <w:b/>
          <w:bCs/>
          <w:sz w:val="32"/>
          <w:szCs w:val="32"/>
        </w:rPr>
        <w:t>一是做好预决算公开工作。</w:t>
      </w:r>
      <w:r>
        <w:rPr>
          <w:rFonts w:hint="eastAsia" w:ascii="Times New Roman" w:hAnsi="Times New Roman" w:eastAsia="仿宋" w:cs="仿宋"/>
          <w:sz w:val="32"/>
          <w:szCs w:val="32"/>
        </w:rPr>
        <w:t>按照预算法对财政信息公开内容和时限要求，全面推进财政信息公开，实现全口径财政预决算、预算调整、部门预决算及“三公”经费预决算、政府性债务等信息公开。在预决算信息公开方面严格按照省财政厅规定的统一模板，完善预决算信息公开。目前，我</w:t>
      </w:r>
      <w:r>
        <w:rPr>
          <w:rFonts w:hint="eastAsia" w:ascii="Times New Roman" w:hAnsi="Times New Roman" w:eastAsia="仿宋" w:cs="仿宋"/>
          <w:sz w:val="32"/>
          <w:szCs w:val="32"/>
          <w:lang w:eastAsia="zh-CN"/>
        </w:rPr>
        <w:t>局</w:t>
      </w:r>
      <w:r>
        <w:rPr>
          <w:rFonts w:hint="eastAsia" w:ascii="Times New Roman" w:hAnsi="Times New Roman" w:eastAsia="仿宋" w:cs="仿宋"/>
          <w:sz w:val="32"/>
          <w:szCs w:val="32"/>
        </w:rPr>
        <w:t>在人大批准后,20日内公开本级政府预决算信息。业务部门在财政部门批复后20日内公开部门预决算信息。全部预算单位除涉密单位外全部按要求将预算支出按功能分类公开到项级科目，按经济分类基本支出公开到款级科目，并对“三公”经费预算增减变化进行了详细的对比说明，实现公开的真实性、准确性。</w:t>
      </w:r>
    </w:p>
    <w:p w14:paraId="35703CAC">
      <w:pPr>
        <w:keepNext w:val="0"/>
        <w:pageBreakBefore w:val="0"/>
        <w:overflowPunct/>
        <w:topLinePunct/>
        <w:bidi w:val="0"/>
        <w:adjustRightInd w:val="0"/>
        <w:snapToGrid w:val="0"/>
        <w:spacing w:line="600" w:lineRule="exact"/>
        <w:ind w:firstLine="640"/>
        <w:jc w:val="both"/>
        <w:textAlignment w:val="baseline"/>
        <w:rPr>
          <w:rFonts w:hint="eastAsia" w:ascii="Times New Roman" w:hAnsi="Times New Roman" w:eastAsia="仿宋"/>
          <w:lang w:eastAsia="zh-CN"/>
        </w:rPr>
      </w:pPr>
      <w:r>
        <w:rPr>
          <w:rFonts w:hint="eastAsia" w:ascii="Times New Roman" w:hAnsi="Times New Roman" w:eastAsia="仿宋" w:cs="仿宋"/>
          <w:b/>
          <w:bCs/>
          <w:sz w:val="32"/>
          <w:szCs w:val="32"/>
        </w:rPr>
        <w:t>二是做好财政相关信息公开工作。</w:t>
      </w:r>
      <w:r>
        <w:rPr>
          <w:rFonts w:hint="eastAsia" w:ascii="Times New Roman" w:hAnsi="Times New Roman" w:eastAsia="仿宋" w:cs="仿宋"/>
          <w:sz w:val="32"/>
          <w:szCs w:val="32"/>
        </w:rPr>
        <w:t>202</w:t>
      </w:r>
      <w:r>
        <w:rPr>
          <w:rFonts w:hint="eastAsia" w:ascii="Times New Roman" w:hAnsi="Times New Roman" w:eastAsia="仿宋" w:cs="仿宋"/>
          <w:sz w:val="32"/>
          <w:szCs w:val="32"/>
          <w:lang w:val="en-US" w:eastAsia="zh-CN"/>
        </w:rPr>
        <w:t>4</w:t>
      </w:r>
      <w:r>
        <w:rPr>
          <w:rFonts w:hint="eastAsia" w:ascii="Times New Roman" w:hAnsi="Times New Roman" w:eastAsia="仿宋" w:cs="仿宋"/>
          <w:sz w:val="32"/>
          <w:szCs w:val="32"/>
        </w:rPr>
        <w:t>年，财政局在</w:t>
      </w:r>
      <w:r>
        <w:rPr>
          <w:rFonts w:hint="eastAsia" w:ascii="Times New Roman" w:hAnsi="Times New Roman" w:eastAsia="仿宋" w:cs="仿宋"/>
          <w:sz w:val="32"/>
          <w:szCs w:val="32"/>
          <w:lang w:eastAsia="zh-CN"/>
        </w:rPr>
        <w:t>县</w:t>
      </w:r>
      <w:r>
        <w:rPr>
          <w:rFonts w:hint="eastAsia" w:ascii="Times New Roman" w:hAnsi="Times New Roman" w:eastAsia="仿宋" w:cs="仿宋"/>
          <w:sz w:val="32"/>
          <w:szCs w:val="32"/>
        </w:rPr>
        <w:t>政府政务公开信息目录系统公开发布各类信息共</w:t>
      </w:r>
      <w:r>
        <w:rPr>
          <w:rFonts w:hint="eastAsia" w:ascii="Times New Roman" w:hAnsi="Times New Roman" w:eastAsia="仿宋" w:cs="仿宋"/>
          <w:sz w:val="32"/>
          <w:szCs w:val="32"/>
          <w:lang w:val="en-US" w:eastAsia="zh-CN"/>
        </w:rPr>
        <w:t>396</w:t>
      </w:r>
      <w:r>
        <w:rPr>
          <w:rFonts w:hint="eastAsia" w:ascii="Times New Roman" w:hAnsi="Times New Roman" w:eastAsia="仿宋" w:cs="仿宋"/>
          <w:sz w:val="32"/>
          <w:szCs w:val="32"/>
        </w:rPr>
        <w:t>条，其中：工作动态</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条，</w:t>
      </w:r>
      <w:r>
        <w:rPr>
          <w:rFonts w:hint="eastAsia" w:ascii="Times New Roman" w:hAnsi="Times New Roman" w:eastAsia="仿宋" w:cs="仿宋"/>
          <w:sz w:val="32"/>
          <w:szCs w:val="32"/>
          <w:lang w:eastAsia="zh-CN"/>
        </w:rPr>
        <w:t>政府</w:t>
      </w:r>
      <w:r>
        <w:rPr>
          <w:rFonts w:hint="eastAsia" w:ascii="Times New Roman" w:hAnsi="Times New Roman" w:eastAsia="仿宋" w:cs="仿宋"/>
          <w:sz w:val="32"/>
          <w:szCs w:val="32"/>
        </w:rPr>
        <w:t>预决算</w:t>
      </w:r>
      <w:r>
        <w:rPr>
          <w:rFonts w:hint="eastAsia" w:ascii="Times New Roman" w:hAnsi="Times New Roman" w:eastAsia="仿宋" w:cs="仿宋"/>
          <w:sz w:val="32"/>
          <w:szCs w:val="32"/>
          <w:lang w:eastAsia="zh-CN"/>
        </w:rPr>
        <w:t>公开</w:t>
      </w:r>
      <w:r>
        <w:rPr>
          <w:rFonts w:hint="eastAsia" w:ascii="Times New Roman" w:hAnsi="Times New Roman" w:eastAsia="仿宋" w:cs="仿宋"/>
          <w:sz w:val="32"/>
          <w:szCs w:val="32"/>
          <w:lang w:val="en-US" w:eastAsia="zh-CN"/>
        </w:rPr>
        <w:t>15</w:t>
      </w:r>
      <w:r>
        <w:rPr>
          <w:rFonts w:hint="eastAsia" w:ascii="Times New Roman" w:hAnsi="Times New Roman" w:eastAsia="仿宋" w:cs="仿宋"/>
          <w:sz w:val="32"/>
          <w:szCs w:val="32"/>
        </w:rPr>
        <w:t>条，部门预决算</w:t>
      </w:r>
      <w:r>
        <w:rPr>
          <w:rFonts w:hint="eastAsia" w:ascii="Times New Roman" w:hAnsi="Times New Roman" w:eastAsia="仿宋" w:cs="仿宋"/>
          <w:sz w:val="32"/>
          <w:szCs w:val="32"/>
          <w:lang w:eastAsia="zh-CN"/>
        </w:rPr>
        <w:t>公开</w:t>
      </w:r>
      <w:r>
        <w:rPr>
          <w:rFonts w:hint="eastAsia" w:ascii="Times New Roman" w:hAnsi="Times New Roman" w:eastAsia="仿宋" w:cs="仿宋"/>
          <w:sz w:val="32"/>
          <w:szCs w:val="32"/>
          <w:lang w:val="en-US" w:eastAsia="zh-CN"/>
        </w:rPr>
        <w:t>379</w:t>
      </w:r>
      <w:r>
        <w:rPr>
          <w:rFonts w:hint="eastAsia" w:ascii="Times New Roman" w:hAnsi="Times New Roman" w:eastAsia="仿宋" w:cs="仿宋"/>
          <w:sz w:val="32"/>
          <w:szCs w:val="32"/>
        </w:rPr>
        <w:t>条，宁武县惠民惠农财政补贴资金“一卡通”补贴政策清单</w:t>
      </w: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条。全面提升政府信息公开申请办理工作质量，依法保障公众合理信息需求，共受理政府信息公开申请1宗，均依法依规及时进行认真答复</w:t>
      </w:r>
      <w:r>
        <w:rPr>
          <w:rFonts w:hint="eastAsia" w:ascii="Times New Roman" w:hAnsi="Times New Roman" w:eastAsia="仿宋" w:cs="仿宋"/>
          <w:sz w:val="32"/>
          <w:szCs w:val="32"/>
          <w:lang w:eastAsia="zh-CN"/>
        </w:rPr>
        <w:t>。</w:t>
      </w:r>
    </w:p>
    <w:p w14:paraId="6B1FA203">
      <w:pPr>
        <w:pStyle w:val="23"/>
        <w:keepNext w:val="0"/>
        <w:pageBreakBefore w:val="0"/>
        <w:overflowPunct/>
        <w:topLinePunct/>
        <w:bidi w:val="0"/>
        <w:adjustRightInd w:val="0"/>
        <w:snapToGrid w:val="0"/>
        <w:spacing w:line="600" w:lineRule="exact"/>
        <w:jc w:val="both"/>
        <w:textAlignment w:val="baseline"/>
        <w:rPr>
          <w:rFonts w:hint="eastAsia" w:ascii="Times New Roman" w:hAnsi="Times New Roman"/>
        </w:rPr>
      </w:pPr>
      <w:r>
        <w:rPr>
          <w:rFonts w:hint="eastAsia" w:ascii="Times New Roman" w:hAnsi="Times New Roman"/>
        </w:rPr>
        <w:t>二、主动公开政府信息情况</w:t>
      </w:r>
    </w:p>
    <w:tbl>
      <w:tblPr>
        <w:tblStyle w:val="14"/>
        <w:tblW w:w="9051" w:type="dxa"/>
        <w:jc w:val="center"/>
        <w:shd w:val="clear" w:color="auto" w:fill="auto"/>
        <w:tblLayout w:type="fixed"/>
        <w:tblCellMar>
          <w:top w:w="0" w:type="dxa"/>
          <w:left w:w="0" w:type="dxa"/>
          <w:bottom w:w="0" w:type="dxa"/>
          <w:right w:w="0" w:type="dxa"/>
        </w:tblCellMar>
      </w:tblPr>
      <w:tblGrid>
        <w:gridCol w:w="2134"/>
        <w:gridCol w:w="2560"/>
        <w:gridCol w:w="2476"/>
        <w:gridCol w:w="1881"/>
      </w:tblGrid>
      <w:tr w14:paraId="1B6CDE76">
        <w:tblPrEx>
          <w:shd w:val="clear" w:color="auto" w:fill="auto"/>
          <w:tblCellMar>
            <w:top w:w="0" w:type="dxa"/>
            <w:left w:w="0" w:type="dxa"/>
            <w:bottom w:w="0" w:type="dxa"/>
            <w:right w:w="0" w:type="dxa"/>
          </w:tblCellMar>
        </w:tblPrEx>
        <w:trPr>
          <w:trHeight w:val="495" w:hRule="atLeast"/>
          <w:jc w:val="center"/>
        </w:trPr>
        <w:tc>
          <w:tcPr>
            <w:tcW w:w="9051"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14:paraId="5DED74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第二十条第（一）项</w:t>
            </w:r>
          </w:p>
        </w:tc>
      </w:tr>
      <w:tr w14:paraId="53390282">
        <w:tblPrEx>
          <w:shd w:val="clear" w:color="auto" w:fill="auto"/>
          <w:tblCellMar>
            <w:top w:w="0" w:type="dxa"/>
            <w:left w:w="0" w:type="dxa"/>
            <w:bottom w:w="0" w:type="dxa"/>
            <w:right w:w="0" w:type="dxa"/>
          </w:tblCellMar>
        </w:tblPrEx>
        <w:trPr>
          <w:trHeight w:val="542"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872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信息内容</w:t>
            </w:r>
          </w:p>
        </w:tc>
        <w:tc>
          <w:tcPr>
            <w:tcW w:w="25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A49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本年制发件数</w:t>
            </w:r>
          </w:p>
        </w:tc>
        <w:tc>
          <w:tcPr>
            <w:tcW w:w="24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D06A7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本年废止件数</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14:paraId="661A1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sz w:val="24"/>
                <w:szCs w:val="24"/>
                <w:lang w:val="en-US"/>
              </w:rPr>
            </w:pPr>
            <w:r>
              <w:rPr>
                <w:rFonts w:hint="eastAsia" w:ascii="Times New Roman" w:hAnsi="Times New Roman" w:eastAsia="宋体" w:cs="宋体"/>
                <w:color w:val="000000"/>
                <w:kern w:val="0"/>
                <w:sz w:val="24"/>
                <w:szCs w:val="24"/>
                <w:lang w:val="en-US" w:eastAsia="zh-CN" w:bidi="ar"/>
              </w:rPr>
              <w:t>先行有效件</w:t>
            </w:r>
          </w:p>
        </w:tc>
      </w:tr>
      <w:tr w14:paraId="4BDCB5F9">
        <w:tblPrEx>
          <w:shd w:val="clear" w:color="auto" w:fill="auto"/>
          <w:tblCellMar>
            <w:top w:w="0" w:type="dxa"/>
            <w:left w:w="0" w:type="dxa"/>
            <w:bottom w:w="0" w:type="dxa"/>
            <w:right w:w="0" w:type="dxa"/>
          </w:tblCellMar>
        </w:tblPrEx>
        <w:trPr>
          <w:trHeight w:val="413"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E18A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规章</w:t>
            </w: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14:paraId="7E5C2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0</w:t>
            </w:r>
          </w:p>
        </w:tc>
        <w:tc>
          <w:tcPr>
            <w:tcW w:w="2476" w:type="dxa"/>
            <w:tcBorders>
              <w:top w:val="nil"/>
              <w:left w:val="nil"/>
              <w:bottom w:val="single" w:color="auto" w:sz="8" w:space="0"/>
              <w:right w:val="single" w:color="auto" w:sz="8" w:space="0"/>
            </w:tcBorders>
            <w:shd w:val="clear" w:color="auto" w:fill="auto"/>
            <w:tcMar>
              <w:left w:w="108" w:type="dxa"/>
              <w:right w:w="108" w:type="dxa"/>
            </w:tcMar>
            <w:vAlign w:val="center"/>
          </w:tcPr>
          <w:p w14:paraId="7F20B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14:paraId="214A6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0</w:t>
            </w:r>
          </w:p>
        </w:tc>
      </w:tr>
      <w:tr w14:paraId="67E1CBFE">
        <w:tblPrEx>
          <w:tblCellMar>
            <w:top w:w="0" w:type="dxa"/>
            <w:left w:w="0" w:type="dxa"/>
            <w:bottom w:w="0" w:type="dxa"/>
            <w:right w:w="0" w:type="dxa"/>
          </w:tblCellMar>
        </w:tblPrEx>
        <w:trPr>
          <w:trHeight w:val="441"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F5B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规范性文件</w:t>
            </w:r>
          </w:p>
        </w:tc>
        <w:tc>
          <w:tcPr>
            <w:tcW w:w="2560" w:type="dxa"/>
            <w:tcBorders>
              <w:top w:val="nil"/>
              <w:left w:val="nil"/>
              <w:bottom w:val="single" w:color="auto" w:sz="8" w:space="0"/>
              <w:right w:val="single" w:color="auto" w:sz="8" w:space="0"/>
            </w:tcBorders>
            <w:shd w:val="clear" w:color="auto" w:fill="auto"/>
            <w:tcMar>
              <w:left w:w="108" w:type="dxa"/>
              <w:right w:w="108" w:type="dxa"/>
            </w:tcMar>
            <w:vAlign w:val="center"/>
          </w:tcPr>
          <w:p w14:paraId="572EE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0</w:t>
            </w:r>
          </w:p>
        </w:tc>
        <w:tc>
          <w:tcPr>
            <w:tcW w:w="2476" w:type="dxa"/>
            <w:tcBorders>
              <w:top w:val="nil"/>
              <w:left w:val="nil"/>
              <w:bottom w:val="single" w:color="auto" w:sz="8" w:space="0"/>
              <w:right w:val="single" w:color="auto" w:sz="8" w:space="0"/>
            </w:tcBorders>
            <w:shd w:val="clear" w:color="auto" w:fill="auto"/>
            <w:tcMar>
              <w:left w:w="108" w:type="dxa"/>
              <w:right w:w="108" w:type="dxa"/>
            </w:tcMar>
            <w:vAlign w:val="center"/>
          </w:tcPr>
          <w:p w14:paraId="1CF91F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14:paraId="52631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0</w:t>
            </w:r>
          </w:p>
        </w:tc>
      </w:tr>
      <w:tr w14:paraId="29774E8D">
        <w:tblPrEx>
          <w:tblCellMar>
            <w:top w:w="0" w:type="dxa"/>
            <w:left w:w="0" w:type="dxa"/>
            <w:bottom w:w="0" w:type="dxa"/>
            <w:right w:w="0" w:type="dxa"/>
          </w:tblCellMar>
        </w:tblPrEx>
        <w:trPr>
          <w:trHeight w:val="480" w:hRule="atLeast"/>
          <w:jc w:val="center"/>
        </w:trPr>
        <w:tc>
          <w:tcPr>
            <w:tcW w:w="905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0FC9B0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第二十条第（五）项</w:t>
            </w:r>
          </w:p>
        </w:tc>
      </w:tr>
      <w:tr w14:paraId="005148E5">
        <w:tblPrEx>
          <w:shd w:val="clear" w:color="auto" w:fill="auto"/>
          <w:tblCellMar>
            <w:top w:w="0" w:type="dxa"/>
            <w:left w:w="0" w:type="dxa"/>
            <w:bottom w:w="0" w:type="dxa"/>
            <w:right w:w="0" w:type="dxa"/>
          </w:tblCellMar>
        </w:tblPrEx>
        <w:trPr>
          <w:trHeight w:val="444"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80A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信息内容</w:t>
            </w:r>
          </w:p>
        </w:tc>
        <w:tc>
          <w:tcPr>
            <w:tcW w:w="691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F6994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本年处理决定数量</w:t>
            </w:r>
          </w:p>
        </w:tc>
      </w:tr>
      <w:tr w14:paraId="7A6DC4A2">
        <w:tblPrEx>
          <w:tblCellMar>
            <w:top w:w="0" w:type="dxa"/>
            <w:left w:w="0" w:type="dxa"/>
            <w:bottom w:w="0" w:type="dxa"/>
            <w:right w:w="0" w:type="dxa"/>
          </w:tblCellMar>
        </w:tblPrEx>
        <w:trPr>
          <w:trHeight w:val="478"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8D6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行政许可</w:t>
            </w:r>
          </w:p>
        </w:tc>
        <w:tc>
          <w:tcPr>
            <w:tcW w:w="69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15CEEE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0</w:t>
            </w:r>
          </w:p>
        </w:tc>
      </w:tr>
      <w:tr w14:paraId="6E15226C">
        <w:tblPrEx>
          <w:tblCellMar>
            <w:top w:w="0" w:type="dxa"/>
            <w:left w:w="0" w:type="dxa"/>
            <w:bottom w:w="0" w:type="dxa"/>
            <w:right w:w="0" w:type="dxa"/>
          </w:tblCellMar>
        </w:tblPrEx>
        <w:trPr>
          <w:trHeight w:val="406" w:hRule="atLeast"/>
          <w:jc w:val="center"/>
        </w:trPr>
        <w:tc>
          <w:tcPr>
            <w:tcW w:w="905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41EDB2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第二十条第（六）项</w:t>
            </w:r>
          </w:p>
        </w:tc>
      </w:tr>
      <w:tr w14:paraId="5D1AFA76">
        <w:tblPrEx>
          <w:tblCellMar>
            <w:top w:w="0" w:type="dxa"/>
            <w:left w:w="0" w:type="dxa"/>
            <w:bottom w:w="0" w:type="dxa"/>
            <w:right w:w="0" w:type="dxa"/>
          </w:tblCellMar>
        </w:tblPrEx>
        <w:trPr>
          <w:trHeight w:val="474"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241C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信息内容</w:t>
            </w:r>
          </w:p>
        </w:tc>
        <w:tc>
          <w:tcPr>
            <w:tcW w:w="691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A446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sz w:val="24"/>
                <w:szCs w:val="24"/>
                <w:lang w:val="en-US" w:eastAsia="zh-CN"/>
              </w:rPr>
              <w:t>本年处理决定数量</w:t>
            </w:r>
          </w:p>
        </w:tc>
      </w:tr>
      <w:tr w14:paraId="32EDD943">
        <w:tblPrEx>
          <w:tblCellMar>
            <w:top w:w="0" w:type="dxa"/>
            <w:left w:w="0" w:type="dxa"/>
            <w:bottom w:w="0" w:type="dxa"/>
            <w:right w:w="0" w:type="dxa"/>
          </w:tblCellMar>
        </w:tblPrEx>
        <w:trPr>
          <w:trHeight w:val="430"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7153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行政处罚</w:t>
            </w:r>
          </w:p>
        </w:tc>
        <w:tc>
          <w:tcPr>
            <w:tcW w:w="69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138EA6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0</w:t>
            </w:r>
          </w:p>
        </w:tc>
      </w:tr>
      <w:tr w14:paraId="7C0BC443">
        <w:tblPrEx>
          <w:tblCellMar>
            <w:top w:w="0" w:type="dxa"/>
            <w:left w:w="0" w:type="dxa"/>
            <w:bottom w:w="0" w:type="dxa"/>
            <w:right w:w="0" w:type="dxa"/>
          </w:tblCellMar>
        </w:tblPrEx>
        <w:trPr>
          <w:trHeight w:val="409"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C594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行政强制</w:t>
            </w:r>
          </w:p>
        </w:tc>
        <w:tc>
          <w:tcPr>
            <w:tcW w:w="69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52847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0</w:t>
            </w:r>
          </w:p>
        </w:tc>
      </w:tr>
      <w:tr w14:paraId="537F9DD4">
        <w:tblPrEx>
          <w:shd w:val="clear" w:color="auto" w:fill="auto"/>
          <w:tblCellMar>
            <w:top w:w="0" w:type="dxa"/>
            <w:left w:w="0" w:type="dxa"/>
            <w:bottom w:w="0" w:type="dxa"/>
            <w:right w:w="0" w:type="dxa"/>
          </w:tblCellMar>
        </w:tblPrEx>
        <w:trPr>
          <w:trHeight w:val="394" w:hRule="atLeast"/>
          <w:jc w:val="center"/>
        </w:trPr>
        <w:tc>
          <w:tcPr>
            <w:tcW w:w="905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2A0034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第二十条第（八）项</w:t>
            </w:r>
          </w:p>
        </w:tc>
      </w:tr>
      <w:tr w14:paraId="6A9AE002">
        <w:tblPrEx>
          <w:shd w:val="clear" w:color="auto" w:fill="auto"/>
          <w:tblCellMar>
            <w:top w:w="0" w:type="dxa"/>
            <w:left w:w="0" w:type="dxa"/>
            <w:bottom w:w="0" w:type="dxa"/>
            <w:right w:w="0" w:type="dxa"/>
          </w:tblCellMar>
        </w:tblPrEx>
        <w:trPr>
          <w:trHeight w:val="540"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8C9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信息内容</w:t>
            </w:r>
          </w:p>
        </w:tc>
        <w:tc>
          <w:tcPr>
            <w:tcW w:w="691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14:paraId="634F0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本年收费金额（单位：万元）</w:t>
            </w:r>
          </w:p>
        </w:tc>
      </w:tr>
      <w:tr w14:paraId="1BD3B083">
        <w:tblPrEx>
          <w:shd w:val="clear" w:color="auto" w:fill="auto"/>
          <w:tblCellMar>
            <w:top w:w="0" w:type="dxa"/>
            <w:left w:w="0" w:type="dxa"/>
            <w:bottom w:w="0" w:type="dxa"/>
            <w:right w:w="0" w:type="dxa"/>
          </w:tblCellMar>
        </w:tblPrEx>
        <w:trPr>
          <w:trHeight w:val="551" w:hRule="atLeast"/>
          <w:jc w:val="center"/>
        </w:trPr>
        <w:tc>
          <w:tcPr>
            <w:tcW w:w="213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32FA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ascii="Times New Roman" w:hAnsi="Times New Roman"/>
                <w:sz w:val="24"/>
                <w:szCs w:val="24"/>
              </w:rPr>
            </w:pPr>
            <w:r>
              <w:rPr>
                <w:rFonts w:hint="eastAsia" w:ascii="Times New Roman" w:hAnsi="Times New Roman" w:eastAsia="宋体" w:cs="宋体"/>
                <w:color w:val="000000"/>
                <w:kern w:val="0"/>
                <w:sz w:val="24"/>
                <w:szCs w:val="24"/>
                <w:lang w:val="en-US" w:eastAsia="zh-CN" w:bidi="ar"/>
              </w:rPr>
              <w:t>行政事业性收费</w:t>
            </w:r>
          </w:p>
        </w:tc>
        <w:tc>
          <w:tcPr>
            <w:tcW w:w="691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14:paraId="37A2D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1682</w:t>
            </w:r>
          </w:p>
        </w:tc>
      </w:tr>
    </w:tbl>
    <w:p w14:paraId="3A8084D7">
      <w:pPr>
        <w:pStyle w:val="23"/>
        <w:keepNext w:val="0"/>
        <w:pageBreakBefore w:val="0"/>
        <w:overflowPunct/>
        <w:topLinePunct/>
        <w:bidi w:val="0"/>
        <w:adjustRightInd w:val="0"/>
        <w:snapToGrid w:val="0"/>
        <w:spacing w:line="600" w:lineRule="exact"/>
        <w:jc w:val="both"/>
        <w:textAlignment w:val="baseline"/>
        <w:rPr>
          <w:rFonts w:hint="eastAsia" w:ascii="Times New Roman" w:hAnsi="Times New Roman"/>
        </w:rPr>
      </w:pPr>
      <w:r>
        <w:rPr>
          <w:rFonts w:hint="eastAsia" w:ascii="Times New Roman" w:hAnsi="Times New Roman"/>
        </w:rPr>
        <w:t>三、收到和处理政府信息公开申请情况</w:t>
      </w:r>
    </w:p>
    <w:tbl>
      <w:tblPr>
        <w:tblStyle w:val="1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4"/>
        <w:gridCol w:w="2194"/>
        <w:gridCol w:w="780"/>
        <w:gridCol w:w="770"/>
        <w:gridCol w:w="810"/>
        <w:gridCol w:w="800"/>
        <w:gridCol w:w="910"/>
        <w:gridCol w:w="730"/>
        <w:gridCol w:w="607"/>
      </w:tblGrid>
      <w:tr w14:paraId="1E5DFA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1" w:hRule="atLeast"/>
          <w:jc w:val="center"/>
        </w:trPr>
        <w:tc>
          <w:tcPr>
            <w:tcW w:w="3664"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4D4C9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w:t>
            </w:r>
            <w:r>
              <w:rPr>
                <w:rStyle w:val="24"/>
                <w:rFonts w:hint="eastAsia" w:ascii="Times New Roman" w:hAnsi="Times New Roman" w:eastAsiaTheme="minorEastAsia" w:cstheme="minorEastAsia"/>
                <w:sz w:val="24"/>
                <w:szCs w:val="24"/>
                <w:lang w:val="en-US" w:eastAsia="zh-CN"/>
              </w:rPr>
              <w:t>本列数据的勾稽关系为：第一项加第二项之和，等于第三项加第四项之和）</w:t>
            </w:r>
          </w:p>
        </w:tc>
        <w:tc>
          <w:tcPr>
            <w:tcW w:w="5407"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DE01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申请人情况</w:t>
            </w:r>
          </w:p>
        </w:tc>
      </w:tr>
      <w:tr w14:paraId="6FD372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1" w:hRule="atLeast"/>
          <w:jc w:val="center"/>
        </w:trPr>
        <w:tc>
          <w:tcPr>
            <w:tcW w:w="366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463933A">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rPr>
            </w:pPr>
          </w:p>
        </w:tc>
        <w:tc>
          <w:tcPr>
            <w:tcW w:w="78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94CFD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自然人</w:t>
            </w:r>
          </w:p>
        </w:tc>
        <w:tc>
          <w:tcPr>
            <w:tcW w:w="402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090D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法人或其他组织</w:t>
            </w:r>
          </w:p>
        </w:tc>
        <w:tc>
          <w:tcPr>
            <w:tcW w:w="60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90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总计</w:t>
            </w:r>
          </w:p>
        </w:tc>
      </w:tr>
      <w:tr w14:paraId="31586C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6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6F9A354">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rPr>
            </w:pPr>
          </w:p>
        </w:tc>
        <w:tc>
          <w:tcPr>
            <w:tcW w:w="78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8495100">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rPr>
            </w:pP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6EC785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商业企业</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75760D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科研机构</w:t>
            </w:r>
          </w:p>
        </w:tc>
        <w:tc>
          <w:tcPr>
            <w:tcW w:w="8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CEC2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社会公益组织</w:t>
            </w:r>
          </w:p>
        </w:tc>
        <w:tc>
          <w:tcPr>
            <w:tcW w:w="9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90E9D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法律服务机构</w:t>
            </w:r>
          </w:p>
        </w:tc>
        <w:tc>
          <w:tcPr>
            <w:tcW w:w="7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BE61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其他</w:t>
            </w:r>
          </w:p>
        </w:tc>
        <w:tc>
          <w:tcPr>
            <w:tcW w:w="60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AEEFB2">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rPr>
            </w:pPr>
          </w:p>
        </w:tc>
      </w:tr>
      <w:tr w14:paraId="5C7D00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1" w:hRule="atLeast"/>
          <w:jc w:val="center"/>
        </w:trPr>
        <w:tc>
          <w:tcPr>
            <w:tcW w:w="366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07CD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一、本年新收政府信息公开申请数量</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2605CC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1</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5671A7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63DCE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5D521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191B4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73D6B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3530E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1</w:t>
            </w:r>
          </w:p>
        </w:tc>
      </w:tr>
      <w:tr w14:paraId="6EAF9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1" w:hRule="atLeast"/>
          <w:jc w:val="center"/>
        </w:trPr>
        <w:tc>
          <w:tcPr>
            <w:tcW w:w="366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3F52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二、上年结转政府信息公开申请数量</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5BFE7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1ECFA4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65BBFD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6D475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B8CA3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666B8B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6EF3C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r>
      <w:tr w14:paraId="09B938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1" w:hRule="atLeast"/>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B4D5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三、本年度办理结果</w:t>
            </w:r>
          </w:p>
        </w:tc>
        <w:tc>
          <w:tcPr>
            <w:tcW w:w="30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F612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（一）予以公开</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39EB5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6C108D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106228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69BC8C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272C93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25AB6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CB4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r>
      <w:tr w14:paraId="0E2045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D375584">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30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A5B6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（二）部分公开（区分处理的，只计这一情形，不计其他情形）</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1FB0F3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kern w:val="0"/>
                <w:sz w:val="24"/>
                <w:szCs w:val="24"/>
                <w:lang w:val="en-US" w:eastAsia="zh-CN" w:bidi="ar"/>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44103B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19AC4A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65D541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1225C7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298C56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6F433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r>
      <w:tr w14:paraId="7B721B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1A20DC">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40192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（三）不予公开</w:t>
            </w: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5C8ED4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1.属于国家秘密</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208F2E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5785E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56F90D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0BE1B9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7ADD9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5C6CE3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6498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6B7CFA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AFB4A8E">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45D05E5">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3B9246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2.其他法律行政法规禁止公开</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454D49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720018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0189F5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1223E6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48F49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1AD43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36760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r>
      <w:tr w14:paraId="548E81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6175519">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6ADCA39">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09B85D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3.危及“三安全一稳定”</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0870A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42278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51989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2B67C0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0E2CD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4A49F0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7EB0A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6C08F7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7EE612">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5B80E85">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1E1A7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4.保护第三方合法权益</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78979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4277C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7DE9AE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5600A4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6A748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73E63E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610472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31B0FB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65CF9F">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35D489B">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2536E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5.属于三类内部事务信息</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162066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57FCC0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76CAC8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583579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EB5A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261D6C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6CF4E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r>
      <w:tr w14:paraId="24612A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70CA28">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A30B914">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38B1D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6.属于四类过程性信息</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1460FF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61FA1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4FD1F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2FF98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2596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2A199C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4B1BE8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3D361C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032843">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5621ACA">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3C7C6C27">
            <w:pPr>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7.属于行政执法案卷</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3056D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31B392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7F89A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67550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86FA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589E44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241B18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r>
      <w:tr w14:paraId="429E61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AB6241">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01169AC">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018BA0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8.属于行政查询事项</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4E1DF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5D20F1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73624C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4D08C9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1DD07D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10E217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6E465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718542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ED861D9">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A4FD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（四）无法提供</w:t>
            </w: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6CD1E6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1.本机关不掌握相关政府信息</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63DD39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06C0DE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2AB563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37E027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693C2E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49CA3E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16E50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6928B5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0CE1FC">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36BC1A1">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70D74B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2.没有现成信息需要另行制作</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7E16F2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5E17B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1BE71A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77E83E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35987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5CD93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62DB7D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4EEBCA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751FAE">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197E8E8">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219210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2"/>
                <w:szCs w:val="22"/>
                <w:lang w:val="en-US"/>
              </w:rPr>
            </w:pPr>
            <w:r>
              <w:rPr>
                <w:rFonts w:hint="eastAsia" w:ascii="Times New Roman" w:hAnsi="Times New Roman" w:eastAsiaTheme="minorEastAsia" w:cstheme="minorEastAsia"/>
                <w:kern w:val="0"/>
                <w:sz w:val="22"/>
                <w:szCs w:val="22"/>
                <w:lang w:val="en-US" w:eastAsia="zh-CN" w:bidi="ar"/>
              </w:rPr>
              <w:t>3.补正后申请内容仍不明确</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3E794F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1B211E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10251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70030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8BB8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721CAC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393B1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6811DB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6DA837">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C1D8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（五）不予处理</w:t>
            </w: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65498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1.信访举报投诉类申请</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54DD5D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423815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5EA90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27518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DBECA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269D3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33D855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03343C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416E91">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8A46C37">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7F9A81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2.重复申请</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3FAED9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118928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01467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23892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D1DA8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3F4E51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778C44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65DD0A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66FCD2">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B4C3D11">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57260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3.要求提供公开出版物</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3A0A5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2D0CAC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71A41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4843E3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2F7DB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3433CD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422D4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1CA44D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99644B">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865376A">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12655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4.无正当理由大量反复申请</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088530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143AE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32B181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286ABE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0654AF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02FB6B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1926D0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r>
      <w:tr w14:paraId="1A4083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E5CF1A">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43F835A">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0DA4BB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5.要求行政机关确认或重新出具已获取信息</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3E9F4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5CE7CD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365ED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029BA7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5A8031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18214E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4B584E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r>
      <w:tr w14:paraId="1F4AEA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D06077">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30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4A75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（六）其他处理</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645B6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74EFE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4500CE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0DB3F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15286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0D493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21C612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r>
      <w:tr w14:paraId="1F39D8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83223C">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2"/>
                <w:szCs w:val="22"/>
              </w:rPr>
            </w:pPr>
          </w:p>
        </w:tc>
        <w:tc>
          <w:tcPr>
            <w:tcW w:w="304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7120F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（七）总计</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0D78C4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66156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4B2AC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7B939D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76053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650FBF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36F7F1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r>
      <w:tr w14:paraId="48F5AA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6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162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2"/>
                <w:szCs w:val="22"/>
              </w:rPr>
            </w:pPr>
            <w:r>
              <w:rPr>
                <w:rFonts w:hint="eastAsia" w:ascii="Times New Roman" w:hAnsi="Times New Roman" w:eastAsiaTheme="minorEastAsia" w:cstheme="minorEastAsia"/>
                <w:kern w:val="0"/>
                <w:sz w:val="22"/>
                <w:szCs w:val="22"/>
                <w:lang w:val="en-US" w:eastAsia="zh-CN" w:bidi="ar"/>
              </w:rPr>
              <w:t>四、结转下年度继续办理</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14:paraId="32C20C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770" w:type="dxa"/>
            <w:tcBorders>
              <w:top w:val="nil"/>
              <w:left w:val="nil"/>
              <w:bottom w:val="single" w:color="auto" w:sz="8" w:space="0"/>
              <w:right w:val="single" w:color="auto" w:sz="8" w:space="0"/>
            </w:tcBorders>
            <w:shd w:val="clear" w:color="auto" w:fill="auto"/>
            <w:tcMar>
              <w:left w:w="108" w:type="dxa"/>
              <w:right w:w="108" w:type="dxa"/>
            </w:tcMar>
            <w:vAlign w:val="center"/>
          </w:tcPr>
          <w:p w14:paraId="40E7CB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2AF629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800" w:type="dxa"/>
            <w:tcBorders>
              <w:top w:val="nil"/>
              <w:left w:val="nil"/>
              <w:bottom w:val="single" w:color="auto" w:sz="8" w:space="0"/>
              <w:right w:val="single" w:color="auto" w:sz="8" w:space="0"/>
            </w:tcBorders>
            <w:shd w:val="clear" w:color="auto" w:fill="auto"/>
            <w:tcMar>
              <w:left w:w="108" w:type="dxa"/>
              <w:right w:w="108" w:type="dxa"/>
            </w:tcMar>
            <w:vAlign w:val="center"/>
          </w:tcPr>
          <w:p w14:paraId="54BC1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910" w:type="dxa"/>
            <w:tcBorders>
              <w:top w:val="nil"/>
              <w:left w:val="nil"/>
              <w:bottom w:val="single" w:color="auto" w:sz="8" w:space="0"/>
              <w:right w:val="single" w:color="auto" w:sz="8" w:space="0"/>
            </w:tcBorders>
            <w:shd w:val="clear" w:color="auto" w:fill="auto"/>
            <w:tcMar>
              <w:left w:w="108" w:type="dxa"/>
              <w:right w:w="108" w:type="dxa"/>
            </w:tcMar>
            <w:vAlign w:val="center"/>
          </w:tcPr>
          <w:p w14:paraId="3C18F9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default" w:ascii="Times New Roman" w:hAnsi="Times New Roman" w:eastAsiaTheme="minorEastAsia" w:cstheme="minorEastAsia"/>
                <w:sz w:val="24"/>
                <w:szCs w:val="24"/>
                <w:lang w:val="en-US"/>
              </w:rPr>
            </w:pPr>
            <w:r>
              <w:rPr>
                <w:rFonts w:hint="eastAsia" w:ascii="Times New Roman" w:hAnsi="Times New Roman" w:eastAsiaTheme="minorEastAsia" w:cstheme="minorEastAsia"/>
                <w:kern w:val="0"/>
                <w:sz w:val="24"/>
                <w:szCs w:val="24"/>
                <w:lang w:val="en-US" w:eastAsia="zh-CN" w:bidi="ar"/>
              </w:rPr>
              <w:t>0</w:t>
            </w:r>
          </w:p>
        </w:tc>
        <w:tc>
          <w:tcPr>
            <w:tcW w:w="730" w:type="dxa"/>
            <w:tcBorders>
              <w:top w:val="nil"/>
              <w:left w:val="nil"/>
              <w:bottom w:val="single" w:color="auto" w:sz="8" w:space="0"/>
              <w:right w:val="single" w:color="auto" w:sz="8" w:space="0"/>
            </w:tcBorders>
            <w:shd w:val="clear" w:color="auto" w:fill="auto"/>
            <w:tcMar>
              <w:left w:w="108" w:type="dxa"/>
              <w:right w:w="108" w:type="dxa"/>
            </w:tcMar>
            <w:vAlign w:val="center"/>
          </w:tcPr>
          <w:p w14:paraId="4E12A2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0</w:t>
            </w:r>
          </w:p>
        </w:tc>
        <w:tc>
          <w:tcPr>
            <w:tcW w:w="607" w:type="dxa"/>
            <w:tcBorders>
              <w:top w:val="nil"/>
              <w:left w:val="nil"/>
              <w:bottom w:val="single" w:color="auto" w:sz="8" w:space="0"/>
              <w:right w:val="single" w:color="auto" w:sz="8" w:space="0"/>
            </w:tcBorders>
            <w:shd w:val="clear" w:color="auto" w:fill="auto"/>
            <w:tcMar>
              <w:left w:w="108" w:type="dxa"/>
              <w:right w:w="108" w:type="dxa"/>
            </w:tcMar>
            <w:vAlign w:val="center"/>
          </w:tcPr>
          <w:p w14:paraId="12C91FB4">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r>
    </w:tbl>
    <w:p w14:paraId="7407E6B1">
      <w:pPr>
        <w:pStyle w:val="23"/>
        <w:keepNext w:val="0"/>
        <w:pageBreakBefore w:val="0"/>
        <w:overflowPunct/>
        <w:topLinePunct/>
        <w:bidi w:val="0"/>
        <w:adjustRightInd w:val="0"/>
        <w:snapToGrid w:val="0"/>
        <w:spacing w:line="600" w:lineRule="exact"/>
        <w:jc w:val="both"/>
        <w:textAlignment w:val="baseline"/>
        <w:rPr>
          <w:rFonts w:hint="eastAsia" w:ascii="Times New Roman" w:hAnsi="Times New Roman"/>
        </w:rPr>
      </w:pPr>
      <w:r>
        <w:rPr>
          <w:rFonts w:hint="eastAsia" w:ascii="Times New Roman" w:hAnsi="Times New Roman"/>
        </w:rPr>
        <w:t>四、政府信息公开行政复议、行政诉讼情况</w:t>
      </w:r>
    </w:p>
    <w:tbl>
      <w:tblPr>
        <w:tblStyle w:val="1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6A1F8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1"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EE21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691B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行政诉讼</w:t>
            </w:r>
          </w:p>
        </w:tc>
      </w:tr>
      <w:tr w14:paraId="61B8D7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1"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17DA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817C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6C53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9D3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424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B849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5875F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复议后起诉</w:t>
            </w:r>
          </w:p>
        </w:tc>
      </w:tr>
      <w:tr w14:paraId="56904C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46BF7F">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16920B1">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2725A0E">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6FF4A1">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1E1088">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85380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3ECA7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4487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04A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776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color w:val="000000"/>
                <w:kern w:val="0"/>
                <w:sz w:val="24"/>
                <w:szCs w:val="24"/>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FA443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39C1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4F4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color w:val="000000"/>
                <w:kern w:val="0"/>
                <w:sz w:val="24"/>
                <w:szCs w:val="24"/>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7D9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kern w:val="0"/>
                <w:sz w:val="24"/>
                <w:szCs w:val="24"/>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154E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color w:val="000000"/>
                <w:kern w:val="0"/>
                <w:sz w:val="24"/>
                <w:szCs w:val="24"/>
                <w:lang w:val="en-US" w:eastAsia="zh-CN" w:bidi="ar"/>
              </w:rPr>
              <w:t>总计</w:t>
            </w:r>
          </w:p>
        </w:tc>
      </w:tr>
      <w:tr w14:paraId="7934E2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1"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95C6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730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6C62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A84D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DCC9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408550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04BA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4AE18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C7A72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BE88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CF85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7FF5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92E01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B669F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autoSpaceDE w:val="0"/>
              <w:autoSpaceDN w:val="0"/>
              <w:bidi w:val="0"/>
              <w:adjustRightInd w:val="0"/>
              <w:snapToGrid w:val="0"/>
              <w:spacing w:before="0" w:beforeAutospacing="0" w:afterAutospacing="0" w:line="600" w:lineRule="exact"/>
              <w:ind w:left="0" w:right="0"/>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D56254C">
            <w:pPr>
              <w:keepNext w:val="0"/>
              <w:keepLines w:val="0"/>
              <w:pageBreakBefore w:val="0"/>
              <w:widowControl/>
              <w:kinsoku w:val="0"/>
              <w:wordWrap/>
              <w:overflowPunct/>
              <w:topLinePunct/>
              <w:autoSpaceDE w:val="0"/>
              <w:autoSpaceDN w:val="0"/>
              <w:bidi w:val="0"/>
              <w:adjustRightInd w:val="0"/>
              <w:snapToGrid w:val="0"/>
              <w:spacing w:line="600" w:lineRule="exact"/>
              <w:jc w:val="both"/>
              <w:textAlignment w:val="baseline"/>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0</w:t>
            </w:r>
          </w:p>
        </w:tc>
      </w:tr>
    </w:tbl>
    <w:p w14:paraId="02B0FE5C">
      <w:pPr>
        <w:pStyle w:val="23"/>
        <w:keepNext w:val="0"/>
        <w:pageBreakBefore w:val="0"/>
        <w:overflowPunct/>
        <w:topLinePunct/>
        <w:bidi w:val="0"/>
        <w:adjustRightInd w:val="0"/>
        <w:snapToGrid w:val="0"/>
        <w:spacing w:line="600" w:lineRule="exact"/>
        <w:jc w:val="both"/>
        <w:textAlignment w:val="baseline"/>
        <w:rPr>
          <w:rFonts w:hint="eastAsia" w:ascii="Times New Roman" w:hAnsi="Times New Roman"/>
        </w:rPr>
      </w:pPr>
      <w:r>
        <w:rPr>
          <w:rFonts w:hint="eastAsia" w:ascii="Times New Roman" w:hAnsi="Times New Roman"/>
        </w:rPr>
        <w:t>五、存在的主要问题及改进情况</w:t>
      </w:r>
    </w:p>
    <w:p w14:paraId="1AB1BF7B">
      <w:pPr>
        <w:pStyle w:val="19"/>
        <w:keepNext w:val="0"/>
        <w:pageBreakBefore w:val="0"/>
        <w:overflowPunct/>
        <w:topLinePunct/>
        <w:bidi w:val="0"/>
        <w:adjustRightInd w:val="0"/>
        <w:snapToGrid w:val="0"/>
        <w:spacing w:line="600" w:lineRule="exact"/>
        <w:jc w:val="both"/>
        <w:textAlignment w:val="baseline"/>
        <w:rPr>
          <w:rFonts w:hint="eastAsia" w:ascii="Times New Roman" w:hAnsi="Times New Roman"/>
        </w:rPr>
      </w:pPr>
      <w:r>
        <w:rPr>
          <w:rFonts w:hint="eastAsia" w:ascii="Times New Roman" w:hAnsi="Times New Roman"/>
        </w:rPr>
        <w:t>2024年</w:t>
      </w:r>
      <w:r>
        <w:rPr>
          <w:rFonts w:hint="eastAsia" w:ascii="Times New Roman" w:hAnsi="Times New Roman"/>
          <w:lang w:eastAsia="zh-CN"/>
        </w:rPr>
        <w:t>，</w:t>
      </w:r>
      <w:r>
        <w:rPr>
          <w:rFonts w:hint="eastAsia" w:ascii="Times New Roman" w:hAnsi="Times New Roman"/>
        </w:rPr>
        <w:t xml:space="preserve">我局深入贯彻落实《中华人民共和国政府信息公开条例》，扎实做好政府信息公开工作，取得了一定成效，但与社会公众的需求相比还存在一定的差距和不足，还存在政务公开工作主动性不强、信息公开时效性有待提高、公开内容解读形式还需更加丰富等问题。 </w:t>
      </w:r>
    </w:p>
    <w:p w14:paraId="4E5F6971">
      <w:pPr>
        <w:pStyle w:val="19"/>
        <w:keepNext w:val="0"/>
        <w:pageBreakBefore w:val="0"/>
        <w:overflowPunct/>
        <w:topLinePunct/>
        <w:bidi w:val="0"/>
        <w:adjustRightInd w:val="0"/>
        <w:snapToGrid w:val="0"/>
        <w:spacing w:line="600" w:lineRule="exact"/>
        <w:jc w:val="both"/>
        <w:textAlignment w:val="baseline"/>
        <w:rPr>
          <w:rFonts w:hint="eastAsia" w:ascii="Times New Roman" w:hAnsi="Times New Roman" w:eastAsia="仿宋_GB2312"/>
          <w:lang w:eastAsia="zh-CN"/>
        </w:rPr>
      </w:pPr>
      <w:r>
        <w:rPr>
          <w:rFonts w:hint="eastAsia" w:ascii="Times New Roman" w:hAnsi="Times New Roman"/>
        </w:rPr>
        <w:t>对此我们将继续按照</w:t>
      </w:r>
      <w:r>
        <w:rPr>
          <w:rFonts w:hint="eastAsia" w:ascii="Times New Roman" w:hAnsi="Times New Roman"/>
          <w:lang w:val="en-US" w:eastAsia="zh-CN"/>
        </w:rPr>
        <w:t>县</w:t>
      </w:r>
      <w:r>
        <w:rPr>
          <w:rFonts w:hint="eastAsia" w:ascii="Times New Roman" w:hAnsi="Times New Roman"/>
        </w:rPr>
        <w:t>委、</w:t>
      </w:r>
      <w:r>
        <w:rPr>
          <w:rFonts w:hint="eastAsia" w:ascii="Times New Roman" w:hAnsi="Times New Roman"/>
          <w:lang w:val="en-US" w:eastAsia="zh-CN"/>
        </w:rPr>
        <w:t>县</w:t>
      </w:r>
      <w:r>
        <w:rPr>
          <w:rFonts w:hint="eastAsia" w:ascii="Times New Roman" w:hAnsi="Times New Roman"/>
        </w:rPr>
        <w:t>政府关于政府信息公开工作的有关要求，紧密结合财政工作特点，不断提升信息公开的水平和质量</w:t>
      </w:r>
      <w:r>
        <w:rPr>
          <w:rFonts w:hint="eastAsia" w:ascii="Times New Roman" w:hAnsi="Times New Roman"/>
          <w:lang w:eastAsia="zh-CN"/>
        </w:rPr>
        <w:t>。</w:t>
      </w:r>
    </w:p>
    <w:p w14:paraId="20F63D5B">
      <w:pPr>
        <w:pStyle w:val="23"/>
        <w:keepNext w:val="0"/>
        <w:pageBreakBefore w:val="0"/>
        <w:overflowPunct/>
        <w:topLinePunct/>
        <w:bidi w:val="0"/>
        <w:adjustRightInd w:val="0"/>
        <w:snapToGrid w:val="0"/>
        <w:spacing w:line="600" w:lineRule="exact"/>
        <w:jc w:val="both"/>
        <w:textAlignment w:val="baseline"/>
        <w:rPr>
          <w:rFonts w:hint="eastAsia" w:ascii="Times New Roman" w:hAnsi="Times New Roman"/>
        </w:rPr>
      </w:pPr>
      <w:r>
        <w:rPr>
          <w:rFonts w:hint="eastAsia" w:ascii="Times New Roman" w:hAnsi="Times New Roman"/>
        </w:rPr>
        <w:t>六、其他需要报告的事项</w:t>
      </w:r>
    </w:p>
    <w:p w14:paraId="2E30C2A7">
      <w:pPr>
        <w:pStyle w:val="19"/>
        <w:keepNext w:val="0"/>
        <w:pageBreakBefore w:val="0"/>
        <w:overflowPunct/>
        <w:topLinePunct/>
        <w:bidi w:val="0"/>
        <w:adjustRightInd w:val="0"/>
        <w:snapToGrid w:val="0"/>
        <w:spacing w:line="600" w:lineRule="exact"/>
        <w:ind w:firstLine="960" w:firstLineChars="300"/>
        <w:jc w:val="both"/>
        <w:textAlignment w:val="baseline"/>
        <w:rPr>
          <w:rFonts w:hint="eastAsia" w:ascii="Times New Roman" w:hAnsi="Times New Roman" w:eastAsia="仿宋_GB2312"/>
          <w:lang w:val="en-US" w:eastAsia="zh-CN"/>
        </w:rPr>
      </w:pPr>
      <w:r>
        <w:rPr>
          <w:rFonts w:hint="eastAsia" w:ascii="Times New Roman" w:hAnsi="Times New Roman"/>
          <w:lang w:val="en-US" w:eastAsia="zh-CN"/>
        </w:rPr>
        <w:t>本年度本单位无收取信息处理费。</w:t>
      </w:r>
    </w:p>
    <w:p w14:paraId="350996A2">
      <w:pPr>
        <w:pStyle w:val="19"/>
        <w:keepNext w:val="0"/>
        <w:pageBreakBefore w:val="0"/>
        <w:overflowPunct/>
        <w:topLinePunct/>
        <w:bidi w:val="0"/>
        <w:adjustRightInd w:val="0"/>
        <w:snapToGrid w:val="0"/>
        <w:spacing w:line="600" w:lineRule="exact"/>
        <w:ind w:firstLine="960" w:firstLineChars="300"/>
        <w:jc w:val="both"/>
        <w:textAlignment w:val="baseline"/>
        <w:rPr>
          <w:rFonts w:hint="default" w:ascii="Times New Roman" w:hAnsi="Times New Roman"/>
          <w:lang w:val="en-US" w:eastAsia="zh-CN"/>
        </w:rPr>
      </w:pPr>
    </w:p>
    <w:p w14:paraId="6CDE7E7C">
      <w:pPr>
        <w:pStyle w:val="19"/>
        <w:keepNext w:val="0"/>
        <w:pageBreakBefore w:val="0"/>
        <w:overflowPunct/>
        <w:topLinePunct/>
        <w:bidi w:val="0"/>
        <w:adjustRightInd w:val="0"/>
        <w:snapToGrid w:val="0"/>
        <w:spacing w:line="600" w:lineRule="exact"/>
        <w:ind w:firstLine="960" w:firstLineChars="300"/>
        <w:jc w:val="both"/>
        <w:textAlignment w:val="baseline"/>
        <w:rPr>
          <w:rFonts w:hint="default" w:ascii="Times New Roman" w:hAnsi="Times New Roman"/>
          <w:lang w:val="en-US" w:eastAsia="zh-CN"/>
        </w:rPr>
      </w:pPr>
    </w:p>
    <w:p w14:paraId="0465E4A7">
      <w:pPr>
        <w:pStyle w:val="19"/>
        <w:keepNext w:val="0"/>
        <w:pageBreakBefore w:val="0"/>
        <w:overflowPunct/>
        <w:topLinePunct/>
        <w:bidi w:val="0"/>
        <w:adjustRightInd w:val="0"/>
        <w:snapToGrid w:val="0"/>
        <w:spacing w:line="600" w:lineRule="exact"/>
        <w:ind w:firstLine="5120" w:firstLineChars="1600"/>
        <w:jc w:val="both"/>
        <w:textAlignment w:val="baseline"/>
        <w:rPr>
          <w:rFonts w:hint="eastAsia" w:ascii="Times New Roman" w:hAnsi="Times New Roman"/>
          <w:lang w:val="en-US" w:eastAsia="zh-CN"/>
        </w:rPr>
      </w:pPr>
      <w:r>
        <w:rPr>
          <w:rFonts w:hint="eastAsia" w:ascii="Times New Roman" w:hAnsi="Times New Roman"/>
          <w:lang w:val="en-US" w:eastAsia="zh-CN"/>
        </w:rPr>
        <w:t>宁武县财政局</w:t>
      </w:r>
    </w:p>
    <w:p w14:paraId="3BCE3B22">
      <w:pPr>
        <w:pStyle w:val="19"/>
        <w:keepNext w:val="0"/>
        <w:pageBreakBefore w:val="0"/>
        <w:overflowPunct/>
        <w:topLinePunct/>
        <w:bidi w:val="0"/>
        <w:adjustRightInd w:val="0"/>
        <w:snapToGrid w:val="0"/>
        <w:spacing w:line="600" w:lineRule="exact"/>
        <w:ind w:firstLine="4800" w:firstLineChars="1500"/>
        <w:jc w:val="both"/>
        <w:textAlignment w:val="baseline"/>
        <w:rPr>
          <w:rFonts w:hint="default" w:ascii="Times New Roman" w:hAnsi="Times New Roman"/>
          <w:lang w:val="en-US" w:eastAsia="zh-CN"/>
        </w:rPr>
      </w:pPr>
      <w:r>
        <w:rPr>
          <w:rFonts w:hint="eastAsia" w:ascii="Times New Roman" w:hAnsi="Times New Roman"/>
          <w:lang w:val="en-US" w:eastAsia="zh-CN"/>
        </w:rPr>
        <w:t>2025年1月26日</w:t>
      </w:r>
    </w:p>
    <w:sectPr>
      <w:headerReference r:id="rId5" w:type="default"/>
      <w:pgSz w:w="11906" w:h="16838"/>
      <w:pgMar w:top="2154" w:right="1531" w:bottom="1871" w:left="1531" w:header="1417"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95DCDE-E856-42F7-8F65-98B3AE0B9D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6200A9F7-2C27-4FDE-AB02-FF50698947C6}"/>
  </w:font>
  <w:font w:name="仿宋">
    <w:panose1 w:val="02010609060101010101"/>
    <w:charset w:val="86"/>
    <w:family w:val="auto"/>
    <w:pitch w:val="default"/>
    <w:sig w:usb0="800002BF" w:usb1="38CF7CFA" w:usb2="00000016" w:usb3="00000000" w:csb0="00040001" w:csb1="00000000"/>
    <w:embedRegular r:id="rId3" w:fontKey="{0AF12694-3998-45E2-9A7E-2FDECB32AE24}"/>
  </w:font>
  <w:font w:name="方正小标宋简体">
    <w:panose1 w:val="02000000000000000000"/>
    <w:charset w:val="86"/>
    <w:family w:val="auto"/>
    <w:pitch w:val="default"/>
    <w:sig w:usb0="00000001" w:usb1="08000000" w:usb2="00000000" w:usb3="00000000" w:csb0="00040000" w:csb1="00000000"/>
    <w:embedRegular r:id="rId4" w:fontKey="{85F8A47D-0A58-487A-A2EE-9364EC4732C1}"/>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1998">
    <w:pPr>
      <w:pStyle w:val="7"/>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MDM2YzhiY2FjNTQ4MjE1YzNmZjY2ODNkMGNjNTQifQ=="/>
  </w:docVars>
  <w:rsids>
    <w:rsidRoot w:val="00000000"/>
    <w:rsid w:val="00A84EAA"/>
    <w:rsid w:val="01CB1210"/>
    <w:rsid w:val="02BE582C"/>
    <w:rsid w:val="03552EEA"/>
    <w:rsid w:val="03EC51E8"/>
    <w:rsid w:val="040000C7"/>
    <w:rsid w:val="04A900FA"/>
    <w:rsid w:val="059D5E85"/>
    <w:rsid w:val="06FF21BC"/>
    <w:rsid w:val="083F1AAC"/>
    <w:rsid w:val="08881C81"/>
    <w:rsid w:val="0A434212"/>
    <w:rsid w:val="0A7F5713"/>
    <w:rsid w:val="0A8B1EE0"/>
    <w:rsid w:val="0B056EE0"/>
    <w:rsid w:val="0B453867"/>
    <w:rsid w:val="0B802B54"/>
    <w:rsid w:val="0BEF2738"/>
    <w:rsid w:val="0C15289F"/>
    <w:rsid w:val="0CE73DC2"/>
    <w:rsid w:val="0D662D48"/>
    <w:rsid w:val="0D75685D"/>
    <w:rsid w:val="0D796F06"/>
    <w:rsid w:val="0EC341CA"/>
    <w:rsid w:val="0F6B0AEA"/>
    <w:rsid w:val="0FC46A88"/>
    <w:rsid w:val="116A0D54"/>
    <w:rsid w:val="11C16B87"/>
    <w:rsid w:val="11EA38CE"/>
    <w:rsid w:val="150A0467"/>
    <w:rsid w:val="161C1467"/>
    <w:rsid w:val="17560BDB"/>
    <w:rsid w:val="19365B8B"/>
    <w:rsid w:val="197B18AC"/>
    <w:rsid w:val="1B707488"/>
    <w:rsid w:val="1CAE5D47"/>
    <w:rsid w:val="1DD125FB"/>
    <w:rsid w:val="1E167226"/>
    <w:rsid w:val="1E5A5665"/>
    <w:rsid w:val="1F34639B"/>
    <w:rsid w:val="1FA40C5A"/>
    <w:rsid w:val="1FDA1CA2"/>
    <w:rsid w:val="1FE02E2E"/>
    <w:rsid w:val="208F6602"/>
    <w:rsid w:val="216E5C8A"/>
    <w:rsid w:val="21A02F7B"/>
    <w:rsid w:val="21E44269"/>
    <w:rsid w:val="22CB1831"/>
    <w:rsid w:val="24091B2B"/>
    <w:rsid w:val="2433396B"/>
    <w:rsid w:val="24D46EDF"/>
    <w:rsid w:val="24E36D91"/>
    <w:rsid w:val="255309BD"/>
    <w:rsid w:val="27784085"/>
    <w:rsid w:val="28265621"/>
    <w:rsid w:val="285C06E0"/>
    <w:rsid w:val="28D221FF"/>
    <w:rsid w:val="28DE0127"/>
    <w:rsid w:val="28E25929"/>
    <w:rsid w:val="295678E4"/>
    <w:rsid w:val="2A7242E9"/>
    <w:rsid w:val="2E7F07D9"/>
    <w:rsid w:val="2F027615"/>
    <w:rsid w:val="31921C24"/>
    <w:rsid w:val="319C21D5"/>
    <w:rsid w:val="33471A20"/>
    <w:rsid w:val="340204AC"/>
    <w:rsid w:val="34346C67"/>
    <w:rsid w:val="34AD3C0B"/>
    <w:rsid w:val="354944A7"/>
    <w:rsid w:val="35B244CD"/>
    <w:rsid w:val="35E34097"/>
    <w:rsid w:val="36354A0F"/>
    <w:rsid w:val="36380B91"/>
    <w:rsid w:val="36B07D29"/>
    <w:rsid w:val="37214898"/>
    <w:rsid w:val="379365EE"/>
    <w:rsid w:val="37A97B52"/>
    <w:rsid w:val="38211DDE"/>
    <w:rsid w:val="382947EF"/>
    <w:rsid w:val="39161217"/>
    <w:rsid w:val="39920BB7"/>
    <w:rsid w:val="3A1C2895"/>
    <w:rsid w:val="3A4F49E1"/>
    <w:rsid w:val="3A6328DD"/>
    <w:rsid w:val="3AC16D33"/>
    <w:rsid w:val="3C2C6CFD"/>
    <w:rsid w:val="3C420AFF"/>
    <w:rsid w:val="3C572CBF"/>
    <w:rsid w:val="3C7930CE"/>
    <w:rsid w:val="3DB175B0"/>
    <w:rsid w:val="3F7C4773"/>
    <w:rsid w:val="3F84017A"/>
    <w:rsid w:val="414A7CB0"/>
    <w:rsid w:val="43C27FD1"/>
    <w:rsid w:val="442336D8"/>
    <w:rsid w:val="44E05680"/>
    <w:rsid w:val="454B2248"/>
    <w:rsid w:val="47211734"/>
    <w:rsid w:val="48851557"/>
    <w:rsid w:val="48DF5182"/>
    <w:rsid w:val="495133F5"/>
    <w:rsid w:val="4ADA32A3"/>
    <w:rsid w:val="4B2C6678"/>
    <w:rsid w:val="4F062A48"/>
    <w:rsid w:val="4F8173D6"/>
    <w:rsid w:val="4F9D591B"/>
    <w:rsid w:val="508D5E0B"/>
    <w:rsid w:val="517D4CC6"/>
    <w:rsid w:val="53057EDB"/>
    <w:rsid w:val="537A10B9"/>
    <w:rsid w:val="559D4922"/>
    <w:rsid w:val="55BE25C3"/>
    <w:rsid w:val="55C45B19"/>
    <w:rsid w:val="55CB540B"/>
    <w:rsid w:val="56574EF1"/>
    <w:rsid w:val="57783371"/>
    <w:rsid w:val="586634FD"/>
    <w:rsid w:val="5BCD590A"/>
    <w:rsid w:val="5BE020C1"/>
    <w:rsid w:val="5CF534D1"/>
    <w:rsid w:val="5D1256CE"/>
    <w:rsid w:val="5D660ED9"/>
    <w:rsid w:val="5E1216FE"/>
    <w:rsid w:val="5E7A5FCD"/>
    <w:rsid w:val="610F0B89"/>
    <w:rsid w:val="62C92CD3"/>
    <w:rsid w:val="62F1793A"/>
    <w:rsid w:val="631A1780"/>
    <w:rsid w:val="657B402C"/>
    <w:rsid w:val="65A93AEA"/>
    <w:rsid w:val="66ED4AB6"/>
    <w:rsid w:val="674F1C6D"/>
    <w:rsid w:val="67AF530D"/>
    <w:rsid w:val="68B01E7F"/>
    <w:rsid w:val="69096D76"/>
    <w:rsid w:val="694F0053"/>
    <w:rsid w:val="6A845731"/>
    <w:rsid w:val="6AF61C06"/>
    <w:rsid w:val="6B75531D"/>
    <w:rsid w:val="6D657A9C"/>
    <w:rsid w:val="6D7C3182"/>
    <w:rsid w:val="6DB66549"/>
    <w:rsid w:val="6E2551E0"/>
    <w:rsid w:val="6F8418D3"/>
    <w:rsid w:val="70467560"/>
    <w:rsid w:val="713E6B63"/>
    <w:rsid w:val="725B0372"/>
    <w:rsid w:val="72E9123E"/>
    <w:rsid w:val="731A4E85"/>
    <w:rsid w:val="735629B2"/>
    <w:rsid w:val="747B4EF1"/>
    <w:rsid w:val="74F636CF"/>
    <w:rsid w:val="753C18AA"/>
    <w:rsid w:val="75C35B3F"/>
    <w:rsid w:val="769A0D5F"/>
    <w:rsid w:val="778079DD"/>
    <w:rsid w:val="79524E7A"/>
    <w:rsid w:val="7A8157E9"/>
    <w:rsid w:val="7BCA5022"/>
    <w:rsid w:val="7E4840F2"/>
    <w:rsid w:val="7E955D3C"/>
    <w:rsid w:val="7EC07150"/>
    <w:rsid w:val="7F6F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qFormat/>
    <w:uiPriority w:val="0"/>
    <w:pPr>
      <w:adjustRightInd w:val="0"/>
      <w:snapToGrid w:val="0"/>
      <w:spacing w:line="360" w:lineRule="auto"/>
      <w:ind w:firstLine="200" w:firstLineChars="200"/>
      <w:outlineLvl w:val="4"/>
    </w:pPr>
    <w:rPr>
      <w:rFonts w:ascii="仿宋_GB2312" w:hAnsi="Calibri" w:eastAsia="仿宋_GB2312" w:cs="Times New Roman"/>
      <w:sz w:val="32"/>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Normal Indent"/>
    <w:basedOn w:val="1"/>
    <w:qFormat/>
    <w:uiPriority w:val="0"/>
    <w:pPr>
      <w:ind w:firstLine="680"/>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spacing w:before="100" w:beforeAutospacing="1" w:after="120"/>
      <w:ind w:leftChars="200"/>
    </w:pPr>
    <w:rPr>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Title"/>
    <w:basedOn w:val="1"/>
    <w:next w:val="1"/>
    <w:qFormat/>
    <w:uiPriority w:val="0"/>
    <w:pPr>
      <w:jc w:val="center"/>
      <w:outlineLvl w:val="0"/>
    </w:pPr>
    <w:rPr>
      <w:rFonts w:ascii="Arial" w:hAnsi="Arial" w:cs="Arial"/>
      <w:b/>
      <w:bCs/>
      <w:sz w:val="32"/>
      <w:szCs w:val="32"/>
    </w:rPr>
  </w:style>
  <w:style w:type="paragraph" w:styleId="13">
    <w:name w:val="Body Text First Indent 2"/>
    <w:basedOn w:val="8"/>
    <w:next w:val="1"/>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customStyle="1" w:styleId="19">
    <w:name w:val="公文正文"/>
    <w:basedOn w:val="1"/>
    <w:link w:val="20"/>
    <w:qFormat/>
    <w:uiPriority w:val="0"/>
    <w:pPr>
      <w:widowControl w:val="0"/>
      <w:kinsoku/>
      <w:wordWrap w:val="0"/>
      <w:overflowPunct/>
      <w:topLinePunct/>
      <w:autoSpaceDE/>
      <w:autoSpaceDN/>
      <w:spacing w:line="560" w:lineRule="exact"/>
      <w:ind w:firstLine="640" w:firstLineChars="200"/>
    </w:pPr>
    <w:rPr>
      <w:rFonts w:hint="eastAsia" w:ascii="仿宋_GB2312" w:hAnsi="仿宋_GB2312" w:eastAsia="仿宋_GB2312" w:cs="仿宋_GB2312"/>
      <w:sz w:val="32"/>
      <w:szCs w:val="32"/>
    </w:rPr>
  </w:style>
  <w:style w:type="character" w:customStyle="1" w:styleId="20">
    <w:name w:val="公文正文 Char"/>
    <w:link w:val="19"/>
    <w:autoRedefine/>
    <w:qFormat/>
    <w:uiPriority w:val="0"/>
    <w:rPr>
      <w:rFonts w:hint="eastAsia" w:ascii="仿宋_GB2312" w:hAnsi="仿宋_GB2312" w:eastAsia="仿宋_GB2312" w:cs="仿宋_GB2312"/>
      <w:sz w:val="32"/>
      <w:szCs w:val="32"/>
    </w:rPr>
  </w:style>
  <w:style w:type="paragraph" w:customStyle="1" w:styleId="21">
    <w:name w:val="公文标题"/>
    <w:basedOn w:val="19"/>
    <w:next w:val="19"/>
    <w:link w:val="25"/>
    <w:autoRedefine/>
    <w:qFormat/>
    <w:uiPriority w:val="0"/>
    <w:pPr>
      <w:snapToGrid w:val="0"/>
      <w:spacing w:after="100" w:afterLines="100" w:line="680" w:lineRule="exact"/>
      <w:ind w:firstLine="0" w:firstLineChars="0"/>
      <w:jc w:val="center"/>
    </w:pPr>
    <w:rPr>
      <w:rFonts w:ascii="方正小标宋简体" w:hAnsi="方正小标宋简体" w:eastAsia="方正小标宋简体" w:cs="方正小标宋简体"/>
      <w:sz w:val="44"/>
      <w:szCs w:val="44"/>
    </w:rPr>
  </w:style>
  <w:style w:type="paragraph" w:customStyle="1" w:styleId="22">
    <w:name w:val="公文二级标题"/>
    <w:basedOn w:val="1"/>
    <w:link w:val="24"/>
    <w:qFormat/>
    <w:uiPriority w:val="0"/>
    <w:pPr>
      <w:spacing w:line="560" w:lineRule="exact"/>
      <w:ind w:firstLine="880" w:firstLineChars="200"/>
    </w:pPr>
    <w:rPr>
      <w:rFonts w:hint="eastAsia" w:ascii="楷体_GB2312" w:hAnsi="楷体_GB2312" w:eastAsia="楷体_GB2312" w:cs="楷体_GB2312"/>
      <w:sz w:val="32"/>
      <w:szCs w:val="32"/>
    </w:rPr>
  </w:style>
  <w:style w:type="paragraph" w:customStyle="1" w:styleId="23">
    <w:name w:val="公文一级标题"/>
    <w:basedOn w:val="1"/>
    <w:link w:val="32"/>
    <w:qFormat/>
    <w:uiPriority w:val="0"/>
    <w:pPr>
      <w:spacing w:line="560" w:lineRule="exact"/>
      <w:ind w:left="0" w:firstLine="880" w:firstLineChars="200"/>
    </w:pPr>
    <w:rPr>
      <w:rFonts w:hint="eastAsia" w:ascii="黑体" w:hAnsi="黑体" w:eastAsia="黑体" w:cs="黑体"/>
      <w:kern w:val="0"/>
      <w:sz w:val="32"/>
      <w:szCs w:val="32"/>
    </w:rPr>
  </w:style>
  <w:style w:type="character" w:customStyle="1" w:styleId="24">
    <w:name w:val="公文二级标题 Char"/>
    <w:link w:val="22"/>
    <w:qFormat/>
    <w:uiPriority w:val="0"/>
    <w:rPr>
      <w:rFonts w:hint="eastAsia" w:ascii="楷体_GB2312" w:hAnsi="楷体_GB2312" w:eastAsia="楷体_GB2312" w:cs="楷体_GB2312"/>
      <w:sz w:val="32"/>
      <w:szCs w:val="32"/>
    </w:rPr>
  </w:style>
  <w:style w:type="character" w:customStyle="1" w:styleId="25">
    <w:name w:val="公文标题 Char"/>
    <w:link w:val="21"/>
    <w:qFormat/>
    <w:uiPriority w:val="0"/>
    <w:rPr>
      <w:rFonts w:ascii="方正小标宋简体" w:hAnsi="方正小标宋简体" w:eastAsia="方正小标宋简体" w:cs="方正小标宋简体"/>
      <w:sz w:val="44"/>
      <w:szCs w:val="44"/>
    </w:rPr>
  </w:style>
  <w:style w:type="paragraph" w:customStyle="1" w:styleId="26">
    <w:name w:val="BodyText1I2"/>
    <w:basedOn w:val="27"/>
    <w:qFormat/>
    <w:uiPriority w:val="0"/>
    <w:pPr>
      <w:spacing w:after="120" w:line="240" w:lineRule="auto"/>
      <w:ind w:left="420" w:leftChars="200" w:firstLine="420" w:firstLineChars="200"/>
      <w:jc w:val="both"/>
    </w:pPr>
  </w:style>
  <w:style w:type="paragraph" w:customStyle="1" w:styleId="27">
    <w:name w:val="BodyTextIndent"/>
    <w:basedOn w:val="1"/>
    <w:qFormat/>
    <w:uiPriority w:val="0"/>
    <w:pPr>
      <w:spacing w:after="120" w:line="240" w:lineRule="auto"/>
      <w:ind w:left="420" w:leftChars="200"/>
      <w:jc w:val="both"/>
    </w:pPr>
  </w:style>
  <w:style w:type="paragraph" w:customStyle="1" w:styleId="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Body Text First Indent 2"/>
    <w:qFormat/>
    <w:uiPriority w:val="0"/>
    <w:pPr>
      <w:ind w:firstLine="200" w:firstLineChars="200"/>
    </w:pPr>
    <w:rPr>
      <w:rFonts w:ascii="Times New Roman" w:hAnsi="Times New Roman" w:eastAsia="宋体" w:cs="Times New Roman"/>
      <w:sz w:val="21"/>
      <w:szCs w:val="22"/>
      <w:lang w:val="en-US" w:eastAsia="zh-CN" w:bidi="ar-SA"/>
    </w:rPr>
  </w:style>
  <w:style w:type="paragraph" w:customStyle="1" w:styleId="30">
    <w:name w:val="正文首行缩进 21"/>
    <w:basedOn w:val="31"/>
    <w:next w:val="11"/>
    <w:autoRedefine/>
    <w:qFormat/>
    <w:uiPriority w:val="0"/>
    <w:pPr>
      <w:widowControl w:val="0"/>
      <w:ind w:left="200" w:leftChars="200" w:firstLine="200" w:firstLineChars="200"/>
      <w:jc w:val="both"/>
    </w:pPr>
    <w:rPr>
      <w:rFonts w:ascii="Times New Roman" w:hAnsi="Times New Roman" w:eastAsia="宋体" w:cs="Times New Roman"/>
      <w:kern w:val="2"/>
      <w:sz w:val="32"/>
      <w:szCs w:val="24"/>
      <w:lang w:val="en-US" w:eastAsia="zh-CN" w:bidi="ar-SA"/>
    </w:rPr>
  </w:style>
  <w:style w:type="paragraph" w:customStyle="1" w:styleId="31">
    <w:name w:val="正文文本缩进1"/>
    <w:basedOn w:val="1"/>
    <w:autoRedefine/>
    <w:qFormat/>
    <w:uiPriority w:val="0"/>
    <w:pPr>
      <w:ind w:left="200" w:leftChars="200"/>
    </w:pPr>
  </w:style>
  <w:style w:type="character" w:customStyle="1" w:styleId="32">
    <w:name w:val="公文一级标题 Char"/>
    <w:link w:val="23"/>
    <w:autoRedefine/>
    <w:qFormat/>
    <w:uiPriority w:val="0"/>
    <w:rPr>
      <w:rFonts w:hint="eastAsia" w:ascii="黑体" w:hAnsi="黑体" w:eastAsia="黑体" w:cs="黑体"/>
      <w:kern w:val="0"/>
      <w:sz w:val="32"/>
      <w:szCs w:val="32"/>
    </w:rPr>
  </w:style>
  <w:style w:type="table" w:customStyle="1" w:styleId="33">
    <w:name w:val="Table Normal"/>
    <w:autoRedefine/>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1731</Words>
  <Characters>1783</Characters>
  <Lines>0</Lines>
  <Paragraphs>0</Paragraphs>
  <TotalTime>119</TotalTime>
  <ScaleCrop>false</ScaleCrop>
  <LinksUpToDate>false</LinksUpToDate>
  <CharactersWithSpaces>1785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2023-04-26T02:17:00Z</dcterms:created>
  <dc:creator>86182</dc:creator>
  <cp:lastModifiedBy>下定决心忘记你～打不死的小强</cp:lastModifiedBy>
  <cp:lastPrinted>2024-01-06T08:05:00Z</cp:lastPrinted>
  <dcterms:modified xsi:type="dcterms:W3CDTF">2025-01-26T08:32:37Z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D63A8A509E7441D0947B4ABEC7CFB54A_13</vt:lpwstr>
  </property>
  <property fmtid="{D5CDD505-2E9C-101B-9397-08002B2CF9AE}" pid="4" name="KSOTemplateDocerSaveRecord">
    <vt:lpwstr>eyJoZGlkIjoiNDNmMDVjZDA5ZjM2ODA4N2Q3YTVjMGU3ZDljOWZiOWIiLCJ1c2VySWQiOiI1MzA2MTQyOTIifQ==</vt:lpwstr>
  </property>
</Properties>
</file>