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wordWrap/>
        <w:autoSpaceDE w:val="0"/>
        <w:autoSpaceDN w:val="0"/>
        <w:adjustRightInd/>
        <w:snapToGrid/>
        <w:spacing w:line="600" w:lineRule="exact"/>
        <w:ind w:right="23" w:rightChars="11"/>
        <w:jc w:val="both"/>
        <w:textAlignment w:val="auto"/>
        <w:rPr>
          <w:rFonts w:hint="default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2" w:beforeLines="10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宁武县经营性扶贫资产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四色预警风险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wordWrap/>
        <w:autoSpaceDE w:val="0"/>
        <w:autoSpaceDN w:val="0"/>
        <w:adjustRightInd/>
        <w:snapToGrid/>
        <w:spacing w:line="600" w:lineRule="exact"/>
        <w:ind w:right="23" w:rightChars="1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防控管理办法（试行）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wordWrap/>
        <w:autoSpaceDE w:val="0"/>
        <w:autoSpaceDN w:val="0"/>
        <w:adjustRightInd/>
        <w:snapToGrid/>
        <w:spacing w:line="600" w:lineRule="exact"/>
        <w:ind w:right="23" w:rightChars="11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23" w:rightChars="11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为规范扶贫资产管理，避免资产流失，提高资产收益，依据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西省农村集体资产管理条例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县扶贫资产管理办法（试行）》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县经营性扶贫资产收益统筹分配方案》的有关规定，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研究决定，对我县扶贫资产运营管理实行经营性扶贫资产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四色预警风险防控动态管理，切实加强经营性扶贫资产动态监管，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确保经营性扶贫资产保值增值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实施范围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firstLine="62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适用于全县经营性扶贫资产的管理，即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2016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年以来各级财政专项扶贫资金、财政涉农整合资金、行业扶贫资金、金融融资资金及社会扶贫资金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包括接受捐赠的实物资产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所形成的经营性扶贫资产，主要为具有经营性质的产业、就业类项目固定资产和资产收益扶贫中形成的权益性资产等，包括生产加工设施、经营性旅游服务设施、光伏电站</w:t>
      </w:r>
      <w:r>
        <w:rPr>
          <w:rFonts w:hint="default" w:ascii="Times New Roman" w:hAnsi="Times New Roman" w:cs="Times New Roman"/>
          <w:spacing w:val="-4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农林产业基地等固定资产，以及扶贫资金直接投入市场经营主体形成的股权、债权等权益性资产等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（一）尊重民意，保障权益。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完善民主议事机制，充分尊重群众意愿，实行民主决策、民主管理、民主监督，保障群众对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经营性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扶贫资产的知情权、决策权、管理权、监督权，真正让贫困群众成为扶贫资产管理的参与者和受益者。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（二）因地制宜，分类指导。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扶贫资产的资金来源、资产类型、受益范围等，由县政府统筹、行业部门和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村具体落实，建立多形式、多层次、多元化的管理模式。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（三）科学运营，安全有效。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扶贫资产类型，采取差异化的经营模式和管理方式，完善登记备案、运营维护、收益分配、资产处置和监督管理等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，建立管护台账，提高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扶贫资产经营管理水平，确保经营性资产保值增值。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（四）公开透明，强化监管。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坚持公告公示制度，将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贫资产清查清算、运营管护、收益分配、资产处置等情况，通过媒体、网站、政务公开栏等分级公告公示，定期将年度扶贫资产运管情况向社会公开，接受监督，提高资产运营管理透明度。强化对侵占套取、挥霍浪费、非法占用、违规处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扶贫资产及收益等行为的监督检查。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三、主要内容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23" w:rightChars="11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经营性扶贫资产所有权者及经营主体定期对资产经营状况进行评估，实行“四色预警”动态管理。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“绿色预警”：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对经营运转正常、持续稳定发挥效益的项目资产，纳入绿色预警范围，督促指导继续发挥带贫益贫效应；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“黄色预警”：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对评估价值减少20%以下的项目资产，纳入黄色预警范围，研判分析存在的问题，找准对策，着力增强市场竞争力，及时扭亏为盈；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“橙色预警”：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对评估价值减少 20%-50%的项目资产，纳入橙色预警范围，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向相关部门发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提醒函，帮助寻找破解瓶颈的方法，着力改善经营现状，逐步较少亏损；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“红色预警”：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对评估价值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少50%以上且不能持续稳定发挥效益的项目资产，纳入红色预警范围，由相关行业部门指导经营主体按程序制订资产处置方案，稳妥处置，并按规定追究相关单位和人员责任。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23" w:rightChars="11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工作要求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财政、农业农村、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乡村振兴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等部门要加强领导，密切配合，协调推动。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做好政策指导和督促落实，抓好项目实施和管理，稳步推进资产收益扶贫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作。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23" w:rightChars="11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（二）强化风险防控。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项目实施主体对财政资金形成的资产负有保值增值责任，承担项目经营风险，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制定风险防范措施和应急预案。 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23" w:rightChars="11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default" w:ascii="楷体_GB2312" w:hAnsi="楷体_GB2312" w:eastAsia="楷体_GB2312" w:cs="楷体_GB2312"/>
          <w:sz w:val="32"/>
          <w:szCs w:val="32"/>
        </w:rPr>
        <w:t>严格监督管理。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切实加强资金监管，利用第三方评估检查，及时发现问题，抓好整改落实。落实公开公示制度，阳光操作，保障群众的知情权、参与权、选择权、监督权。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2021-12-01T02:14:21Z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5A2FAF5ED3694D549E86EE07F9A4B71E</vt:lpwstr>
  </property>
</Properties>
</file>