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p>
      <w:pPr>
        <w:pStyle w:val="4"/>
        <w:spacing w:line="240" w:lineRule="auto"/>
        <w:ind w:firstLine="0"/>
        <w:jc w:val="center"/>
        <w:rPr>
          <w:rFonts w:hint="default" w:ascii="Times New Roman" w:hAnsi="Times New Roman" w:eastAsia="黑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宁武县</w:t>
      </w:r>
      <w:r>
        <w:rPr>
          <w:rFonts w:hint="eastAsia" w:ascii="Times New Roman" w:hAnsi="Times New Roman" w:eastAsia="黑体" w:cs="Times New Roman"/>
          <w:color w:val="auto"/>
          <w:sz w:val="36"/>
          <w:szCs w:val="36"/>
          <w:lang w:val="en-US" w:eastAsia="zh-CN"/>
        </w:rPr>
        <w:t>2020年</w:t>
      </w:r>
      <w:r>
        <w:rPr>
          <w:rFonts w:hint="default" w:ascii="Times New Roman" w:hAnsi="Times New Roman" w:eastAsia="黑体" w:cs="Times New Roman"/>
          <w:color w:val="auto"/>
          <w:sz w:val="36"/>
          <w:szCs w:val="36"/>
        </w:rPr>
        <w:t>城镇基准地价表</w:t>
      </w:r>
    </w:p>
    <w:p>
      <w:pPr>
        <w:pStyle w:val="4"/>
        <w:spacing w:line="240" w:lineRule="auto"/>
        <w:ind w:firstLine="0"/>
        <w:jc w:val="center"/>
        <w:rPr>
          <w:rFonts w:hint="default" w:ascii="Times New Roman" w:hAnsi="Times New Roman" w:eastAsia="楷体_GB2312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估价基准日:二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〇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  <w:lang w:eastAsia="zh-CN"/>
        </w:rPr>
        <w:t>二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〇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年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  <w:lang w:eastAsia="zh-CN"/>
        </w:rPr>
        <w:t>一</w:t>
      </w:r>
      <w:r>
        <w:rPr>
          <w:rFonts w:hint="default" w:ascii="Times New Roman" w:hAnsi="Times New Roman" w:eastAsia="楷体_GB2312" w:cs="Times New Roman"/>
          <w:color w:val="auto"/>
          <w:sz w:val="21"/>
          <w:szCs w:val="21"/>
        </w:rPr>
        <w:t>月一日</w:t>
      </w:r>
    </w:p>
    <w:p>
      <w:pPr>
        <w:pStyle w:val="4"/>
        <w:spacing w:beforeLines="50" w:line="240" w:lineRule="auto"/>
        <w:ind w:firstLine="0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表1  宁武县城镇土地基准地价表(单位:元/m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2"/>
        <w:tblW w:w="80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8"/>
        <w:gridCol w:w="1701"/>
        <w:gridCol w:w="1701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208" w:type="dxa"/>
            <w:tcBorders>
              <w:top w:val="single" w:color="auto" w:sz="12" w:space="0"/>
              <w:left w:val="single" w:color="auto" w:sz="12" w:space="0"/>
              <w:tl2br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4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1701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1701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  <w:tc>
          <w:tcPr>
            <w:tcW w:w="1701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Ⅳ级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997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637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412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1208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950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595</w:t>
            </w:r>
          </w:p>
        </w:tc>
        <w:tc>
          <w:tcPr>
            <w:tcW w:w="170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379</w:t>
            </w:r>
          </w:p>
        </w:tc>
        <w:tc>
          <w:tcPr>
            <w:tcW w:w="1701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0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649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405</w:t>
            </w:r>
          </w:p>
        </w:tc>
        <w:tc>
          <w:tcPr>
            <w:tcW w:w="1701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265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1208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547</w:t>
            </w:r>
          </w:p>
        </w:tc>
        <w:tc>
          <w:tcPr>
            <w:tcW w:w="1701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364</w:t>
            </w:r>
          </w:p>
        </w:tc>
        <w:tc>
          <w:tcPr>
            <w:tcW w:w="1701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249</w:t>
            </w:r>
          </w:p>
        </w:tc>
        <w:tc>
          <w:tcPr>
            <w:tcW w:w="1701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158</w:t>
            </w:r>
          </w:p>
        </w:tc>
      </w:tr>
    </w:tbl>
    <w:p>
      <w:pPr>
        <w:pStyle w:val="4"/>
        <w:spacing w:line="240" w:lineRule="auto"/>
        <w:ind w:firstLine="315" w:firstLineChars="150"/>
        <w:rPr>
          <w:rFonts w:hint="default" w:ascii="Times New Roman" w:hAnsi="Times New Roman" w:eastAsia="宋体" w:cs="Times New Roman"/>
          <w:color w:val="auto"/>
          <w:sz w:val="21"/>
          <w:szCs w:val="21"/>
        </w:rPr>
      </w:pP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注：土地还原率采用</w:t>
      </w:r>
      <w:r>
        <w:rPr>
          <w:rFonts w:hint="eastAsia" w:ascii="Times New Roman" w:hAnsi="Times New Roman" w:eastAsia="宋体" w:cs="Times New Roman"/>
          <w:color w:val="auto"/>
          <w:sz w:val="21"/>
          <w:szCs w:val="21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color w:val="auto"/>
          <w:sz w:val="21"/>
          <w:szCs w:val="21"/>
        </w:rPr>
        <w:t>%。</w:t>
      </w:r>
    </w:p>
    <w:p>
      <w:pPr>
        <w:pStyle w:val="4"/>
        <w:widowControl w:val="0"/>
        <w:wordWrap/>
        <w:adjustRightInd/>
        <w:snapToGrid/>
        <w:spacing w:before="0" w:after="0" w:line="240" w:lineRule="auto"/>
        <w:ind w:left="0" w:leftChars="0" w:right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表2  宁武县城镇土地基准地价表(单位:万元/亩)</w:t>
      </w:r>
    </w:p>
    <w:tbl>
      <w:tblPr>
        <w:tblStyle w:val="2"/>
        <w:tblW w:w="7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1696"/>
        <w:gridCol w:w="1696"/>
        <w:gridCol w:w="1696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181" w:type="dxa"/>
            <w:tcBorders>
              <w:top w:val="single" w:color="auto" w:sz="12" w:space="0"/>
              <w:left w:val="single" w:color="auto" w:sz="12" w:space="0"/>
              <w:tl2br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4"/>
              <w:spacing w:line="240" w:lineRule="auto"/>
              <w:ind w:right="71" w:rightChars="34" w:firstLine="0"/>
              <w:jc w:val="both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1696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1696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1696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  <w:tc>
          <w:tcPr>
            <w:tcW w:w="1696" w:type="dxa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Ⅳ级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  <w:jc w:val="center"/>
        </w:trPr>
        <w:tc>
          <w:tcPr>
            <w:tcW w:w="1181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66.47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42.47</w:t>
            </w: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27.47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19.93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81" w:type="dxa"/>
            <w:tcBorders>
              <w:left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63.33 </w:t>
            </w:r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39.67 </w:t>
            </w:r>
          </w:p>
        </w:tc>
        <w:tc>
          <w:tcPr>
            <w:tcW w:w="1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25.27 </w:t>
            </w:r>
          </w:p>
        </w:tc>
        <w:tc>
          <w:tcPr>
            <w:tcW w:w="1696" w:type="dxa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16.13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8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16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43.27 </w:t>
            </w:r>
          </w:p>
        </w:tc>
        <w:tc>
          <w:tcPr>
            <w:tcW w:w="16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27.00 </w:t>
            </w:r>
          </w:p>
        </w:tc>
        <w:tc>
          <w:tcPr>
            <w:tcW w:w="1696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17.67 </w:t>
            </w:r>
          </w:p>
        </w:tc>
        <w:tc>
          <w:tcPr>
            <w:tcW w:w="1696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11.13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181" w:type="dxa"/>
            <w:tcBorders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16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36.47 </w:t>
            </w:r>
          </w:p>
        </w:tc>
        <w:tc>
          <w:tcPr>
            <w:tcW w:w="1696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24.27 </w:t>
            </w:r>
          </w:p>
        </w:tc>
        <w:tc>
          <w:tcPr>
            <w:tcW w:w="1696" w:type="dxa"/>
            <w:tcBorders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16.60 </w:t>
            </w:r>
          </w:p>
        </w:tc>
        <w:tc>
          <w:tcPr>
            <w:tcW w:w="1696" w:type="dxa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10.53 </w:t>
            </w:r>
          </w:p>
        </w:tc>
      </w:tr>
    </w:tbl>
    <w:p>
      <w:pPr>
        <w:pStyle w:val="4"/>
        <w:widowControl w:val="0"/>
        <w:wordWrap/>
        <w:adjustRightInd/>
        <w:snapToGrid/>
        <w:spacing w:before="0" w:after="0" w:line="240" w:lineRule="auto"/>
        <w:ind w:left="0" w:leftChars="0" w:right="71" w:rightChars="34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表3  宁武县城镇土地价格区间表(单位:元/m</w:t>
      </w:r>
      <w:r>
        <w:rPr>
          <w:rFonts w:hint="default" w:ascii="Times New Roman" w:hAnsi="Times New Roman" w:cs="Times New Roman"/>
          <w:color w:val="auto"/>
          <w:sz w:val="24"/>
          <w:szCs w:val="24"/>
          <w:vertAlign w:val="superscript"/>
        </w:rPr>
        <w:t>2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)</w:t>
      </w:r>
    </w:p>
    <w:tbl>
      <w:tblPr>
        <w:tblStyle w:val="2"/>
        <w:tblW w:w="809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vMerge w:val="restart"/>
            <w:tcBorders>
              <w:right w:val="single" w:color="auto" w:sz="6" w:space="0"/>
              <w:tl2br w:val="single" w:color="auto" w:sz="4" w:space="0"/>
            </w:tcBorders>
            <w:vAlign w:val="top"/>
          </w:tcPr>
          <w:p>
            <w:pPr>
              <w:pStyle w:val="4"/>
              <w:spacing w:line="240" w:lineRule="auto"/>
              <w:ind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4"/>
              <w:spacing w:line="240" w:lineRule="auto"/>
              <w:ind w:firstLine="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17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4"/>
              <w:spacing w:line="240" w:lineRule="auto"/>
              <w:ind w:firstLine="90" w:firstLineChars="4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17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240" w:lineRule="auto"/>
              <w:ind w:firstLine="90" w:firstLineChars="4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17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90" w:firstLineChars="4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pStyle w:val="4"/>
              <w:spacing w:line="240" w:lineRule="auto"/>
              <w:ind w:firstLine="90" w:firstLineChars="4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Ⅳ级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240" w:lineRule="auto"/>
              <w:ind w:firstLine="285" w:firstLineChars="136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1210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792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792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495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495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350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232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1180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741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741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468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468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302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195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tcBorders>
              <w:top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240" w:lineRule="auto"/>
              <w:ind w:right="71" w:rightChars="34" w:firstLine="0" w:firstLineChars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806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489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489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3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28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3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28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21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21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13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lang w:eastAsia="zh-CN"/>
              </w:rPr>
            </w:pPr>
            <w:r>
              <w:rPr>
                <w:rFonts w:hint="default" w:ascii="Times New Roman" w:hAnsi="Times New Roman" w:cs="Times New Roman"/>
                <w:lang w:eastAsia="zh-CN"/>
              </w:rPr>
              <w:t>工  业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674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424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424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310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197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197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126</w:t>
            </w:r>
          </w:p>
        </w:tc>
      </w:tr>
    </w:tbl>
    <w:p>
      <w:pPr>
        <w:pStyle w:val="4"/>
        <w:widowControl w:val="0"/>
        <w:wordWrap/>
        <w:adjustRightInd/>
        <w:snapToGrid/>
        <w:spacing w:before="0" w:after="0" w:line="240" w:lineRule="auto"/>
        <w:ind w:left="0" w:leftChars="0" w:right="71" w:rightChars="34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表4 宁武县城镇土地价格区间表(单位:万元/亩)</w:t>
      </w:r>
    </w:p>
    <w:tbl>
      <w:tblPr>
        <w:tblStyle w:val="2"/>
        <w:tblW w:w="8094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98"/>
        <w:gridCol w:w="862"/>
        <w:gridCol w:w="862"/>
        <w:gridCol w:w="862"/>
        <w:gridCol w:w="862"/>
        <w:gridCol w:w="862"/>
        <w:gridCol w:w="862"/>
        <w:gridCol w:w="862"/>
        <w:gridCol w:w="86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vMerge w:val="restart"/>
            <w:tcBorders>
              <w:right w:val="single" w:color="auto" w:sz="6" w:space="0"/>
              <w:tl2br w:val="single" w:color="auto" w:sz="4" w:space="0"/>
            </w:tcBorders>
            <w:vAlign w:val="top"/>
          </w:tcPr>
          <w:p>
            <w:pPr>
              <w:pStyle w:val="4"/>
              <w:spacing w:line="240" w:lineRule="auto"/>
              <w:ind w:firstLine="0"/>
              <w:jc w:val="right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土地级别</w:t>
            </w:r>
          </w:p>
          <w:p>
            <w:pPr>
              <w:pStyle w:val="4"/>
              <w:spacing w:line="240" w:lineRule="auto"/>
              <w:ind w:firstLine="0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行业</w:t>
            </w:r>
          </w:p>
        </w:tc>
        <w:tc>
          <w:tcPr>
            <w:tcW w:w="17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pStyle w:val="4"/>
              <w:spacing w:line="240" w:lineRule="auto"/>
              <w:ind w:firstLine="90" w:firstLineChars="4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Ⅰ级</w:t>
            </w:r>
          </w:p>
        </w:tc>
        <w:tc>
          <w:tcPr>
            <w:tcW w:w="17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4"/>
              <w:spacing w:line="240" w:lineRule="auto"/>
              <w:ind w:firstLine="90" w:firstLineChars="4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Ⅱ级</w:t>
            </w:r>
          </w:p>
        </w:tc>
        <w:tc>
          <w:tcPr>
            <w:tcW w:w="172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4"/>
              <w:spacing w:line="240" w:lineRule="auto"/>
              <w:ind w:firstLine="90" w:firstLineChars="4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Ⅲ级</w:t>
            </w:r>
          </w:p>
        </w:tc>
        <w:tc>
          <w:tcPr>
            <w:tcW w:w="1724" w:type="dxa"/>
            <w:gridSpan w:val="2"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pStyle w:val="4"/>
              <w:spacing w:line="240" w:lineRule="auto"/>
              <w:ind w:firstLine="90" w:firstLineChars="43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Ⅳ级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vMerge w:val="continue"/>
            <w:tcBorders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240" w:lineRule="auto"/>
              <w:ind w:firstLine="285" w:firstLineChars="136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最高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vAlign w:val="bottom"/>
          </w:tcPr>
          <w:p>
            <w:pPr>
              <w:jc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最低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商  服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80.67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52.80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52.80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33.00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33.00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23.33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23.33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15.47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住  宅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78.67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49.40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49.40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31.20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31.20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20.13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20.13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13.00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eastAsia="zh-CN"/>
              </w:rPr>
              <w:t>公共服务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53.73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32.60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32.60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21.87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21.87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14.00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14.00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8.67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  <w:jc w:val="center"/>
        </w:trPr>
        <w:tc>
          <w:tcPr>
            <w:tcW w:w="1198" w:type="dxa"/>
            <w:tcBorders>
              <w:top w:val="single" w:color="auto" w:sz="6" w:space="0"/>
              <w:right w:val="single" w:color="auto" w:sz="6" w:space="0"/>
            </w:tcBorders>
            <w:vAlign w:val="top"/>
          </w:tcPr>
          <w:p>
            <w:pPr>
              <w:pStyle w:val="4"/>
              <w:spacing w:line="240" w:lineRule="auto"/>
              <w:ind w:right="71" w:rightChars="34" w:firstLine="0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</w:rPr>
              <w:t>工  业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44.93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28.27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28.27 </w:t>
            </w:r>
          </w:p>
        </w:tc>
        <w:tc>
          <w:tcPr>
            <w:tcW w:w="862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20.67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20.67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13.13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13.13 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 xml:space="preserve">8.40 </w:t>
            </w:r>
          </w:p>
        </w:tc>
      </w:tr>
    </w:tbl>
    <w:p>
      <w:pPr>
        <w:rPr>
          <w:rFonts w:hint="default" w:ascii="Times New Roman" w:hAnsi="Times New Roman" w:cs="Times New Roman"/>
          <w:sz w:val="10"/>
          <w:szCs w:val="1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CA6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lain Text"/>
    <w:basedOn w:val="1"/>
    <w:uiPriority w:val="0"/>
    <w:pPr>
      <w:spacing w:line="600" w:lineRule="exact"/>
      <w:ind w:firstLine="567"/>
      <w:jc w:val="left"/>
    </w:pPr>
    <w:rPr>
      <w:rFonts w:ascii="仿宋_GB2312" w:hAnsi="Courier New" w:eastAsia="仿宋_GB2312"/>
      <w:color w:val="000000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空房子</cp:lastModifiedBy>
  <dcterms:modified xsi:type="dcterms:W3CDTF">2020-10-03T11:10:03Z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