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健康村（社区）评价标准</w:t>
      </w:r>
    </w:p>
    <w:p>
      <w:pPr>
        <w:spacing w:line="600" w:lineRule="exact"/>
        <w:ind w:firstLine="643"/>
        <w:jc w:val="center"/>
        <w:rPr>
          <w:rFonts w:ascii="方正小标宋简体" w:hAnsi="方正小标宋简体" w:eastAsia="方正小标宋简体" w:cs="方正小标宋简体"/>
          <w:bCs/>
          <w:sz w:val="13"/>
          <w:szCs w:val="13"/>
        </w:rPr>
      </w:pP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在农村，以行政村为单位建设健康村。在城市，以社区为单位建设健康社区。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行政村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社区公开承诺并倡导全体居民参与健康村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健康社区建设。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成立村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社区主要负责同志参加的健康村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健康社区领导小组，明确职责分工，定期召开例会。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将健康村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健康社区建设纳入村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社区发展规划，制定促进居民健康的规章制度和相关措施。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有专人负责健康村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健康社区工作，有工作计划和总结，健康活动有记录。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建设无烟环境。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保持自然环境整洁，营造促进健康的社会人文环境。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基层医疗卫生机构深入村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社区提供基本健康教育服务。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自发组织健康讲座和多种形式的健康主题活动，村（社区）居民积极参与。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提高居民健康素养。</w:t>
      </w:r>
    </w:p>
    <w:p>
      <w:pPr>
        <w:spacing w:line="600" w:lineRule="exact"/>
        <w:ind w:firstLine="560"/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23"/>
          <w:cols w:space="720" w:num="1"/>
          <w:docGrid w:type="lines" w:linePitch="312"/>
        </w:sect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居民体育锻炼率有所提高，吸烟率和肥胖率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有所下降。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宁武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县创建健康村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/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健康社区现场评分表</w:t>
      </w:r>
    </w:p>
    <w:p>
      <w:pPr>
        <w:shd w:val="solid" w:color="FFFFFF" w:fill="auto"/>
        <w:autoSpaceDN w:val="0"/>
        <w:spacing w:line="600" w:lineRule="exact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村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>/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社区：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时间：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.</w:t>
      </w:r>
    </w:p>
    <w:tbl>
      <w:tblPr>
        <w:tblW w:w="1404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128"/>
        <w:gridCol w:w="4653"/>
        <w:gridCol w:w="4425"/>
        <w:gridCol w:w="643"/>
        <w:gridCol w:w="1114"/>
        <w:gridCol w:w="858"/>
      </w:tblGrid>
      <w:tr>
        <w:trPr>
          <w:trHeight w:val="639" w:hRule="atLeast"/>
        </w:trPr>
        <w:tc>
          <w:tcPr>
            <w:tcW w:w="1219" w:type="dxa"/>
            <w:tcBorders>
              <w:top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28" w:type="dxa"/>
            <w:tcBorders>
              <w:top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53" w:type="dxa"/>
            <w:tcBorders>
              <w:top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指标解释</w:t>
            </w:r>
          </w:p>
        </w:tc>
        <w:tc>
          <w:tcPr>
            <w:tcW w:w="4425" w:type="dxa"/>
            <w:tcBorders>
              <w:top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643" w:type="dxa"/>
            <w:tcBorders>
              <w:top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114" w:type="dxa"/>
            <w:tcBorders>
              <w:top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考核办法</w:t>
            </w:r>
          </w:p>
        </w:tc>
        <w:tc>
          <w:tcPr>
            <w:tcW w:w="858" w:type="dxa"/>
            <w:tcBorders>
              <w:top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675" w:hRule="atLeast"/>
        </w:trPr>
        <w:tc>
          <w:tcPr>
            <w:tcW w:w="1219" w:type="dxa"/>
            <w:vMerge w:val="restart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一、组织管理（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28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、承诺倡导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）行政村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社区承诺建设健康村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健康社区。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行政村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社区采取签署承诺书等形式，承诺开展健康村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健康社区建设工作，得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97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）采取召开全体居民大会、倡议书入户、户外公共牌等形式，倡导辖区各单位和家庭户积极参与健康社区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村建设。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采取召开全体居民大会、倡议书入户、户外公共牌等形式，倡导辖区各单位和家庭户积极参与健康社区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村建设，得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、协调机制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）成立行政村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社区主要负责同志参加的健康促进村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社区领导小组，明确职责分工。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成立主要领导牵头的领导小组得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）每季度召开工作例会，讨论村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社区主要健康问题并提出具体应对措施。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每年召开工作例会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、规章制度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）将健康促进村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健康社区建设纳入村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社区发展规划。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将健康促进村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社区建设纳入村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社区发展规划，得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319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）制定促进村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社区健康的规章制度和相关措施，如改善村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社区环境卫生、落实公共场所无烟、促进居民采取健康生活方式、预防控制重大疾病和突发公共卫生事件、困难家庭健康帮扶措施等。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制定促进村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社区健康的规章制度和措施，每制定一条得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分，累计不超过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0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、组织实施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）有专人负责健康村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社区工作，定期接受健康促进培训。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有专人负责健康村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社区工作，得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分。每年接受健康促进培训达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154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）制定健康促进工作计划，定期总结。资料齐全，整理规范。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有健康村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健康社区工作方案或计划，得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分。建设的文字、图片、实物等过程资料齐全、整理规范，得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分。有工作总结结构合理、内容详实得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2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指标解释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114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考核办法</w:t>
            </w:r>
          </w:p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675" w:hRule="atLeast"/>
        </w:trPr>
        <w:tc>
          <w:tcPr>
            <w:tcW w:w="1219" w:type="dxa"/>
            <w:vMerge w:val="restart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二、健康环境（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28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、无烟环境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）辖区内所有室内公共场所、工作场所和公共交通工具一律禁止吸烟。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村委会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社区办公室、卫生室、主要道路没有发现烟头或者吸烟现象，得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社区主要建筑物入口处、电梯、公共厕所、会议室等区域有明显的无烟标识。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村委会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社区主要建筑物入口处、电梯、公共厕所、会议室有禁烟标识和健康提示，得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04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社区内无烟草广告和促销。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社区内无烟草广告和促销，得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、自然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）环境整洁，垃圾箱数量满足需要，垃圾日产日清。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环境整洁，垃圾箱整洁，无垃圾零散堆放现象，得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）使用卫生厕所家庭比例达到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，粪便无害化处理。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农村使用卫生厕所比例达到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，或者城市公共厕所清洁卫生，得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、人文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）有固定健身场所和基本的健身设备，设备定期维护以保证正常使用，有安全提示。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有固定健身场所和基本的健身设备，得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分。健身设备无健康隐患，周边有安全提示，得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）有健康文化场所，提供健康教育资料，提供交流环境。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有开展健康文化的场所，得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分。该场所提供健康教育资料，定期组织健康交流，得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34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）对弱势群体有健康帮扶措施。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对弱势群体有健康帮扶措施，得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566" w:hRule="atLeast"/>
        </w:trPr>
        <w:tc>
          <w:tcPr>
            <w:tcW w:w="1219" w:type="dxa"/>
            <w:vMerge w:val="restart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三、健康活动（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2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、基本健康教育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服务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配合基层医疗卫生机构开展健康教育活动，活动质量和频次符合基本公共卫生服务项目要求。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有开展健康教育工作的计划和总结，得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分。每年开展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次以上健康教育讲座，得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分。每年开展健康咨询，得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分。建有健康教育宣传栏并定期更新，得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分。定期发放健康教育材料，得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319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、健康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家庭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）配合有关部门，组织社区居民参加健康家庭评选活动。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有健康家庭评选工作计划和总结，有具体步骤和流程，得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分。动员、组织辖区居民参加健康家庭评选，得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分。开展针对家庭的健康活动，得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97" w:hRule="atLeast"/>
        </w:trPr>
        <w:tc>
          <w:tcPr>
            <w:tcW w:w="1219" w:type="dxa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2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指标解释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114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考核办法</w:t>
            </w:r>
          </w:p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997" w:hRule="atLeast"/>
        </w:trPr>
        <w:tc>
          <w:tcPr>
            <w:tcW w:w="1219" w:type="dxa"/>
            <w:vMerge w:val="restart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）选出的健康家庭符合健康家庭标准，对辖区其他家庭起到示范带头作用。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现场进入一个健康家庭，家庭环境清洁得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分；有健康标识和健康材料得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分；无人吸烟得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分；家庭关系和邻里关系和谐得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114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897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restart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、主题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活动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）村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社区每年自发组织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上健康讲座。（讲座主题在辖区健康教育机构的业务指导下确定。可包括以下内容：科学就医、合理用药、传染病预防、安全急救；合理膳食、适量运动、戒烟限酒、心理平衡；母婴保健、科学育儿、健康老龄等。）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次及以上健康讲座或咨询得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2-3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97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）每年举办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次以上、面向辖区居民的集体活动。（如健康知识竞赛、健康演讲比赛、戒烟竞赛、健康展览展示、社区体育活动等。）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每年举办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次及以上、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个以上居民参与的集体活动，得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97" w:hRule="atLeast"/>
        </w:trPr>
        <w:tc>
          <w:tcPr>
            <w:tcW w:w="1219" w:type="dxa"/>
            <w:vMerge w:val="continue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28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）开展有特色的健康教育活动，为居民提供健康自测和技术指导。（如健康小屋、健康餐厅、健康一条街等。）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开展有特色的健康教育活动，得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分。采取某种形式，为居民提供健康自测和健康指导，得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vMerge w:val="continue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四、建设效果（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2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评价</w:t>
            </w:r>
          </w:p>
        </w:tc>
        <w:tc>
          <w:tcPr>
            <w:tcW w:w="465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目标人群对健康促进工作支持、理解、满意</w:t>
            </w:r>
          </w:p>
        </w:tc>
        <w:tc>
          <w:tcPr>
            <w:tcW w:w="4425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详见目标人群测评方案。</w:t>
            </w:r>
          </w:p>
        </w:tc>
        <w:tc>
          <w:tcPr>
            <w:tcW w:w="643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快速调查</w:t>
            </w:r>
          </w:p>
        </w:tc>
        <w:tc>
          <w:tcPr>
            <w:tcW w:w="858" w:type="dxa"/>
            <w:tcBorders>
              <w:left w:val="single" w:color="000000" w:sz="4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1" w:hRule="atLeast"/>
        </w:trPr>
        <w:tc>
          <w:tcPr>
            <w:tcW w:w="1219" w:type="dxa"/>
            <w:tcBorders>
              <w:bottom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合计</w:t>
            </w:r>
          </w:p>
        </w:tc>
        <w:tc>
          <w:tcPr>
            <w:tcW w:w="1128" w:type="dxa"/>
            <w:tcBorders>
              <w:bottom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653" w:type="dxa"/>
            <w:tcBorders>
              <w:bottom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25" w:type="dxa"/>
            <w:tcBorders>
              <w:bottom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3" w:type="dxa"/>
            <w:tcBorders>
              <w:bottom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100</w:t>
            </w:r>
          </w:p>
        </w:tc>
        <w:tc>
          <w:tcPr>
            <w:tcW w:w="1114" w:type="dxa"/>
            <w:tcBorders>
              <w:bottom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8" w:type="dxa"/>
            <w:tcBorders>
              <w:bottom w:val="single" w:color="000000" w:sz="6" w:space="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00" w:lineRule="exact"/>
        <w:ind w:firstLine="435"/>
        <w:rPr>
          <w:rFonts w:ascii="微软雅黑" w:hAnsi="微软雅黑" w:eastAsia="微软雅黑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>说明：</w:t>
      </w:r>
    </w:p>
    <w:p>
      <w:pPr>
        <w:shd w:val="solid" w:color="FFFFFF" w:fill="auto"/>
        <w:autoSpaceDN w:val="0"/>
        <w:spacing w:line="300" w:lineRule="exact"/>
        <w:ind w:firstLine="435"/>
        <w:rPr>
          <w:rFonts w:ascii="微软雅黑" w:hAnsi="微软雅黑" w:eastAsia="微软雅黑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健康村</w:t>
      </w:r>
      <w:r>
        <w:rPr>
          <w:rFonts w:ascii="宋体" w:hAnsi="宋体"/>
          <w:color w:val="000000"/>
          <w:szCs w:val="21"/>
          <w:shd w:val="clear" w:color="auto" w:fill="FFFFFF"/>
        </w:rPr>
        <w:t>/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健康社区现场评估表采取百分制，现场评估达到</w:t>
      </w:r>
      <w:r>
        <w:rPr>
          <w:rFonts w:ascii="宋体" w:hAnsi="宋体"/>
          <w:color w:val="000000"/>
          <w:szCs w:val="21"/>
          <w:shd w:val="clear" w:color="auto" w:fill="FFFFFF"/>
        </w:rPr>
        <w:t>70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分及以上，认为达到健康村</w:t>
      </w:r>
      <w:r>
        <w:rPr>
          <w:rFonts w:ascii="宋体" w:hAnsi="宋体"/>
          <w:color w:val="000000"/>
          <w:szCs w:val="21"/>
          <w:shd w:val="clear" w:color="auto" w:fill="FFFFFF"/>
        </w:rPr>
        <w:t>/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社区健康标准。</w:t>
      </w:r>
    </w:p>
    <w:p>
      <w:pPr>
        <w:shd w:val="solid" w:color="FFFFFF" w:fill="auto"/>
        <w:autoSpaceDN w:val="0"/>
        <w:spacing w:line="300" w:lineRule="exact"/>
        <w:ind w:firstLine="43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2.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健康村</w:t>
      </w:r>
      <w:r>
        <w:rPr>
          <w:rFonts w:ascii="宋体" w:hAnsi="宋体"/>
          <w:color w:val="000000"/>
          <w:szCs w:val="21"/>
          <w:shd w:val="clear" w:color="auto" w:fill="FFFFFF"/>
        </w:rPr>
        <w:t>/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健康社区转化得分</w:t>
      </w:r>
      <w:r>
        <w:rPr>
          <w:rFonts w:ascii="宋体" w:hAnsi="宋体"/>
          <w:color w:val="000000"/>
          <w:szCs w:val="21"/>
          <w:shd w:val="clear" w:color="auto" w:fill="FFFFFF"/>
        </w:rPr>
        <w:t>=15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×（现场评估得分</w:t>
      </w:r>
      <w:r>
        <w:rPr>
          <w:rFonts w:ascii="宋体" w:hAnsi="宋体"/>
          <w:color w:val="000000"/>
          <w:szCs w:val="21"/>
          <w:shd w:val="clear" w:color="auto" w:fill="FFFFFF"/>
        </w:rPr>
        <w:t>/100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），纳入健康促进县总评分表。</w:t>
      </w:r>
    </w:p>
    <w:p/>
    <w:sectPr>
      <w:pgSz w:w="16838" w:h="11906" w:orient="landscape"/>
      <w:pgMar w:top="1236" w:right="1440" w:bottom="1800" w:left="144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0"/>
    <w:pPr>
      <w:keepNext/>
      <w:keepLines/>
      <w:spacing w:before="260" w:after="260" w:line="415" w:lineRule="auto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</w:style>
  <w:style w:type="paragraph" w:styleId="5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heading 1 Char"/>
    <w:basedOn w:val="7"/>
    <w:link w:val="2"/>
    <w:semiHidden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9">
    <w:name w:val="heading 2 Char"/>
    <w:basedOn w:val="7"/>
    <w:link w:val="3"/>
    <w:semiHidden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heading 3 Char"/>
    <w:basedOn w:val="7"/>
    <w:link w:val="4"/>
    <w:semiHidden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0</Words>
  <Characters>2052</Characters>
  <Lines>0</Lines>
  <Paragraphs>21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2023-04-09T19:04:00Z</dcterms:created>
  <dc:creator>科林</dc:creator>
  <cp:lastPrinted>2024-07-11T09:25:21Z</cp:lastPrinted>
  <dcterms:modified xsi:type="dcterms:W3CDTF">2024-07-11T09:25:23Z</dcterms:modified>
  <dc:title>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277BADA000B54B919EA2FC82D6735CA4_13</vt:lpwstr>
  </property>
</Properties>
</file>