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2"/>
          <w:szCs w:val="42"/>
          <w:lang w:eastAsia="zh-CN"/>
        </w:rPr>
        <w:t>宁武县</w:t>
      </w:r>
      <w:r>
        <w:rPr>
          <w:rFonts w:hint="eastAsia" w:ascii="方正小标宋简体" w:hAnsi="方正小标宋简体" w:eastAsia="方正小标宋简体" w:cs="方正小标宋简体"/>
          <w:kern w:val="2"/>
          <w:sz w:val="42"/>
          <w:szCs w:val="42"/>
        </w:rPr>
        <w:t>2021-2022年秋冬季大气污染综合治理攻坚行动方案措施任务表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685"/>
        <w:gridCol w:w="2385"/>
        <w:gridCol w:w="2220"/>
        <w:gridCol w:w="6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35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685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重点工作</w:t>
            </w:r>
          </w:p>
        </w:tc>
        <w:tc>
          <w:tcPr>
            <w:tcW w:w="2385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主要任务</w:t>
            </w:r>
          </w:p>
        </w:tc>
        <w:tc>
          <w:tcPr>
            <w:tcW w:w="2220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完成时限</w:t>
            </w:r>
          </w:p>
        </w:tc>
        <w:tc>
          <w:tcPr>
            <w:tcW w:w="6086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shd w:val="solid" w:color="FFFFFF" w:fill="FFFFFF"/>
              </w:rPr>
              <w:t>工  程  措  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03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产业结构调整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12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重点工业行业VOCs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12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综合治理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无组织排放控制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2021年9月底前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家汽修厂通过采取设备与场所密闭、工艺改进、废气有效收集等措施，完成VOCs无组织排放治理。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35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能源结构调整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清洁取暖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散煤治理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2021年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清洁供暖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改造任务，谋划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2022年清洁取暖改造任务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035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685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煤炭消费总量控制</w:t>
            </w:r>
          </w:p>
        </w:tc>
        <w:tc>
          <w:tcPr>
            <w:tcW w:w="2385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煤炭消费总量控制</w:t>
            </w:r>
          </w:p>
        </w:tc>
        <w:tc>
          <w:tcPr>
            <w:tcW w:w="2220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2021年12月底前</w:t>
            </w:r>
          </w:p>
        </w:tc>
        <w:tc>
          <w:tcPr>
            <w:tcW w:w="6086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煤炭消费总量与2020年持平。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685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控制农业用煤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2021年10月底前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对农业大棚热风炉、粮食/烟草/食用菌等燃煤烘干炉窑开展专项排查，发现一台，清理一台。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035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685" w:type="dxa"/>
            <w:shd w:val="clear" w:color="auto" w:fill="auto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锅炉综合整治</w:t>
            </w:r>
          </w:p>
        </w:tc>
        <w:tc>
          <w:tcPr>
            <w:tcW w:w="2385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淘汰燃煤锅炉</w:t>
            </w:r>
          </w:p>
        </w:tc>
        <w:tc>
          <w:tcPr>
            <w:tcW w:w="2220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2021年10月底前</w:t>
            </w:r>
          </w:p>
        </w:tc>
        <w:tc>
          <w:tcPr>
            <w:tcW w:w="6086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淘汰燃煤锅炉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台。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进一步排查清理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范围内全面淘汰35蒸吨以下燃煤锅炉。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035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运输结构调整</w:t>
            </w:r>
          </w:p>
        </w:tc>
        <w:tc>
          <w:tcPr>
            <w:tcW w:w="2685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运输结构调整</w:t>
            </w:r>
          </w:p>
        </w:tc>
        <w:tc>
          <w:tcPr>
            <w:tcW w:w="2385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煤炭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煤炭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清洁运输</w:t>
            </w:r>
          </w:p>
        </w:tc>
        <w:tc>
          <w:tcPr>
            <w:tcW w:w="2220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2021年12月底前</w:t>
            </w:r>
          </w:p>
        </w:tc>
        <w:tc>
          <w:tcPr>
            <w:tcW w:w="6086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煤炭行业清洁运输（铁路、管道、新能源或国六货车）比例达到50%。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35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385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老旧车淘汰</w:t>
            </w:r>
          </w:p>
        </w:tc>
        <w:tc>
          <w:tcPr>
            <w:tcW w:w="2220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2021年12月底前</w:t>
            </w:r>
          </w:p>
        </w:tc>
        <w:tc>
          <w:tcPr>
            <w:tcW w:w="6086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推广使用新能源公交车、网约车、出租。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35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运输结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构调整</w:t>
            </w:r>
          </w:p>
        </w:tc>
        <w:tc>
          <w:tcPr>
            <w:tcW w:w="2685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车船燃油品质改善</w:t>
            </w:r>
          </w:p>
        </w:tc>
        <w:tc>
          <w:tcPr>
            <w:tcW w:w="2385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打击黑加油站点</w:t>
            </w:r>
          </w:p>
        </w:tc>
        <w:tc>
          <w:tcPr>
            <w:tcW w:w="2220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2021年12月底前</w:t>
            </w:r>
          </w:p>
        </w:tc>
        <w:tc>
          <w:tcPr>
            <w:tcW w:w="6086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组织开展打击黑加油站点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及黑加油车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专项行动60天，并对不达标油品跟踪溯源。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35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385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油品和尿素质量抽查</w:t>
            </w:r>
          </w:p>
        </w:tc>
        <w:tc>
          <w:tcPr>
            <w:tcW w:w="2220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2021年12月底前</w:t>
            </w:r>
          </w:p>
        </w:tc>
        <w:tc>
          <w:tcPr>
            <w:tcW w:w="6086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在全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加油站（点）抽检车用汽柴油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达到上级要求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批次，实现年度全覆盖。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035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685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在用车环境管理</w:t>
            </w:r>
          </w:p>
        </w:tc>
        <w:tc>
          <w:tcPr>
            <w:tcW w:w="2385" w:type="dxa"/>
            <w:vMerge w:val="restart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在用车执法监管</w:t>
            </w:r>
          </w:p>
        </w:tc>
        <w:tc>
          <w:tcPr>
            <w:tcW w:w="2220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2021年12月底前</w:t>
            </w:r>
          </w:p>
        </w:tc>
        <w:tc>
          <w:tcPr>
            <w:tcW w:w="6086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查验重型国六燃气车后处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装置情况。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35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385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220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2021年12月底前</w:t>
            </w:r>
          </w:p>
        </w:tc>
        <w:tc>
          <w:tcPr>
            <w:tcW w:w="6086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检查排放检验机构，实现排放检验机构监管全覆盖。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35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385" w:type="dxa"/>
            <w:vMerge w:val="continue"/>
            <w:shd w:val="clear" w:color="000000" w:fill="FFFFFF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220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2021年12月底前</w:t>
            </w:r>
          </w:p>
        </w:tc>
        <w:tc>
          <w:tcPr>
            <w:tcW w:w="6086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对重点用车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安装门禁系统。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035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685" w:type="dxa"/>
            <w:shd w:val="clear" w:color="auto" w:fill="auto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非道路移动机械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环境管理</w:t>
            </w:r>
          </w:p>
        </w:tc>
        <w:tc>
          <w:tcPr>
            <w:tcW w:w="2385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排放检验</w:t>
            </w:r>
          </w:p>
        </w:tc>
        <w:tc>
          <w:tcPr>
            <w:tcW w:w="2220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2021年12月底前</w:t>
            </w:r>
          </w:p>
        </w:tc>
        <w:tc>
          <w:tcPr>
            <w:tcW w:w="6086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开展非道路移动机械检测，做到施工工地、机场、铁路货场、物流园区、高排放控制区等重点场所全覆盖。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35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用地结构调整</w:t>
            </w:r>
          </w:p>
        </w:tc>
        <w:tc>
          <w:tcPr>
            <w:tcW w:w="2685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扬尘综合整治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道路扬尘综合整治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2021年12月底前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建成区道路机械化清扫率达到65%。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pStyle w:val="2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68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强化降尘量控制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</w:rPr>
              <w:t>2021年12月底前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降尘量不高于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吨/月·平方公里。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pStyle w:val="2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685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秸秆综合利用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加强秸秆焚烧管控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2022年3月底前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全面禁止秸秆露天焚烧。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pStyle w:val="2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68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加强秸秆综合利用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2021年12月底前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秸秆综合利用率达到86%以上。</w:t>
            </w:r>
          </w:p>
        </w:tc>
      </w:tr>
    </w:tbl>
    <w:p>
      <w:pPr>
        <w:pStyle w:val="2"/>
        <w:ind w:left="0" w:leftChars="0" w:firstLine="0" w:firstLineChars="0"/>
      </w:pPr>
    </w:p>
    <w:p>
      <w:bookmarkStart w:id="0" w:name="_GoBack"/>
      <w:bookmarkEnd w:id="0"/>
    </w:p>
    <w:sectPr>
      <w:pgSz w:w="16838" w:h="11906" w:orient="landscape"/>
      <w:pgMar w:top="1701" w:right="1361" w:bottom="1191" w:left="1361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E4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200" w:firstLineChars="200"/>
    </w:pPr>
  </w:style>
  <w:style w:type="paragraph" w:customStyle="1" w:styleId="3">
    <w:name w:val="Body Text Indent"/>
    <w:basedOn w:val="1"/>
    <w:qFormat/>
    <w:uiPriority w:val="0"/>
    <w:pPr>
      <w:spacing w:after="120" w:afterLines="0"/>
      <w:ind w:left="200" w:leftChars="200"/>
    </w:pPr>
  </w:style>
  <w:style w:type="character" w:customStyle="1" w:styleId="6">
    <w:name w:val="font41"/>
    <w:basedOn w:val="5"/>
    <w:qFormat/>
    <w:uiPriority w:val="0"/>
    <w:rPr>
      <w:rFonts w:asci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2022-01-18T08:28:37Z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620F84C5FBF0439B9F472EE778EDF981</vt:lpwstr>
  </property>
</Properties>
</file>