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>（XX乡镇各网格）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X月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消防安全防范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暨摸排整治火灾隐患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工作统计表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240" w:lineRule="auto"/>
        <w:ind w:firstLine="8400" w:firstLineChars="3000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填报时间（加盖公章）：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352"/>
        <w:gridCol w:w="2352"/>
        <w:gridCol w:w="2353"/>
        <w:gridCol w:w="2377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63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网格名称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检查场所名称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发现隐患内容</w:t>
            </w: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整改措施</w:t>
            </w: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检查时间</w:t>
            </w: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如：xx网格（XX村）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xx网格（XX村）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ind w:left="0" w:leftChars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ind w:left="0" w:leftChars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363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ind w:left="0" w:leftChars="0"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3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4" w:type="dxa"/>
            <w:gridSpan w:val="6"/>
            <w:vAlign w:val="center"/>
          </w:tcPr>
          <w:p>
            <w:pPr>
              <w:pStyle w:val="4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填表说明：各乡镇督促网格实际检查情况填写当月检查数据。检查场所包括：乡镇工业园、农村合作社、民宿、农家乐、小作坊、小商铺、学校、乡镇卫生院、孤寡老人住宅等各类场所。</w:t>
            </w:r>
          </w:p>
        </w:tc>
      </w:tr>
    </w:tbl>
    <w:p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1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2021-11-03T03:01:06Z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8DDD7EB773814BA6A0CC74A563578359</vt:lpwstr>
  </property>
</Properties>
</file>