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after="0" w:line="62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kern w:val="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kern w:val="0"/>
          <w:sz w:val="44"/>
          <w:szCs w:val="44"/>
          <w:lang w:val="en-US" w:eastAsia="zh-CN"/>
        </w:rPr>
        <w:t>宁武县农村宅基地审批和管理工作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w w:val="100"/>
          <w:kern w:val="0"/>
          <w:sz w:val="44"/>
          <w:szCs w:val="44"/>
          <w:lang w:val="en-US" w:eastAsia="zh-CN"/>
        </w:rPr>
        <w:t>联席会议制度</w:t>
      </w:r>
    </w:p>
    <w:p>
      <w:pPr>
        <w:widowControl w:val="0"/>
        <w:wordWrap/>
        <w:adjustRightInd/>
        <w:snapToGrid/>
        <w:spacing w:before="0" w:after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为深入贯彻落实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</w:rPr>
        <w:t>山西省人民政府办公厅关于印发山西省农村宅基地审批管理办法（试行）》（晋政办发〔2020〕11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</w:rPr>
        <w:t>号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eastAsia="zh-CN"/>
        </w:rPr>
        <w:t>忻州市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</w:rPr>
        <w:t>人民政府办公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</w:rPr>
        <w:t>关于印发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</w:rPr>
        <w:t>农村宅基地审批管理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eastAsia="zh-CN"/>
        </w:rPr>
        <w:t>工作的通知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</w:rPr>
        <w:t>》（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eastAsia="zh-CN"/>
        </w:rPr>
        <w:t>忻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</w:rPr>
        <w:t>政办发〔202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</w:rPr>
        <w:t>〕1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</w:rPr>
        <w:t>号）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文件精神，进一步加强部门协作配合，落实属地管理责任，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政府决定建立宁武县农村宅基地审批和管理工作联席会议制度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</w:rPr>
        <w:t>（以下简称联席会议）。现将有关事项通知如下：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kern w:val="0"/>
          <w:sz w:val="32"/>
          <w:szCs w:val="32"/>
          <w:lang w:val="en-US" w:eastAsia="zh-CN"/>
        </w:rPr>
        <w:t>主要职责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贯彻党和国家机构改革精神，落实新修订的土地管理法有关要求，深化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放管服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效”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改革，进一步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加强部门间的沟通、协作和交流，共享信息资源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合理安排宅基地用地，落实属地管理责任，按照省指导、市县主导、乡镇主责、村级主体要求，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逐步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建立健全县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/>
        </w:rPr>
        <w:t>级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  <w:shd w:val="clear" w:color="auto" w:fill="FFFFFF"/>
        </w:rPr>
        <w:t>农村宅基地管理机制。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8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kern w:val="0"/>
          <w:sz w:val="32"/>
          <w:szCs w:val="32"/>
          <w:lang w:val="en-US" w:eastAsia="zh-CN"/>
        </w:rPr>
        <w:t xml:space="preserve">    二、职责分工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0"/>
          <w:w w:val="100"/>
          <w:kern w:val="0"/>
          <w:sz w:val="32"/>
          <w:szCs w:val="32"/>
          <w:lang w:val="en-US" w:eastAsia="zh-CN"/>
        </w:rPr>
        <w:t>县农业农村局：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承担联席会议召集工作。负责全县农村宅基地改革和管理工作，建立健全宅基地分配、使用、流转、违法用地查处等管理制度，完善宅基地用地标准，指导宅基地合理布局、闲置宅基地和闲置农房利用；组织开展农村宅基地现状和需求情况统计调查，及时将农民建房新增建设用地需求通报同级自然资源部门；参与编制国土空间规划和村庄规划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协调相关部门按照各自职责履职尽责。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0"/>
          <w:w w:val="100"/>
          <w:kern w:val="0"/>
          <w:sz w:val="32"/>
          <w:szCs w:val="32"/>
          <w:lang w:val="en-US" w:eastAsia="zh-CN"/>
        </w:rPr>
        <w:t>县行政审批局</w:t>
      </w:r>
      <w:r>
        <w:rPr>
          <w:rFonts w:hint="eastAsia" w:ascii="Times New Roman" w:hAnsi="Times New Roman" w:eastAsia="楷体_GB2312" w:cs="Times New Roman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配合农业农村、自然资源等部门指导乡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人民政府规范和优化行政审批流程、政务服务事项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推进审批服务便民化、标准化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方便农民群众办事。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0"/>
          <w:w w:val="100"/>
          <w:kern w:val="0"/>
          <w:sz w:val="32"/>
          <w:szCs w:val="32"/>
          <w:lang w:val="en-US" w:eastAsia="zh-CN"/>
        </w:rPr>
        <w:t>县自然资源局：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负责审查用地建房是否符合国土空间规划、用途管制要求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其中涉及占用农用地的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办理农用地转用审批手续。进一步加快宅基地确权登记发证，结合新一轮国土空间规划，因地制宜、科学评估、合理布局农村居民点用地规模及标准，实现两者有机衔接，为日后发展预留充足空间。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0"/>
          <w:w w:val="100"/>
          <w:kern w:val="0"/>
          <w:sz w:val="32"/>
          <w:szCs w:val="32"/>
          <w:lang w:val="en-US" w:eastAsia="zh-CN"/>
        </w:rPr>
        <w:t>县住建局：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依据国家、省、市农村宅基地建房相关法律法规和技术规范，制定本行政区域的农村宅基地建房质量安全管理配套政策，对本行政区域内农村宅基地建房进行指导。要因地制宜编制农村宅基地建房屋设计通用图册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注重体现乡村建筑风格和风貌特色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免费供建房人选用，用以指导农村宅基地建房工程质量安全和风貌管控等。审批及宅基地建房工作中，住建部门负责本行政区域内农村宅基地建房的行业指导、指导建房人选用规范施工图纸、指导农村工匠培训等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0"/>
          <w:w w:val="100"/>
          <w:kern w:val="0"/>
          <w:sz w:val="32"/>
          <w:szCs w:val="32"/>
          <w:lang w:val="en-US" w:eastAsia="zh-CN"/>
        </w:rPr>
        <w:t>县应急局：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做好宅基地上自建房用作经营场所的监管。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0"/>
          <w:w w:val="100"/>
          <w:kern w:val="0"/>
          <w:sz w:val="32"/>
          <w:szCs w:val="32"/>
          <w:lang w:val="en-US" w:eastAsia="zh-CN"/>
        </w:rPr>
        <w:t>县人民政府：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加强组织领导，成立农村宅基地审批和管理领导小组及办公室，安排工作经费，充实工作力量，保障宅基地审批管理日常工作有序开展。统筹组织协调县级相关部门，乡（镇</w:t>
      </w:r>
      <w:r>
        <w:rPr>
          <w:rFonts w:hint="eastAsia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政府、村级组织依法履行职责，有序开展工作。确保农民宅基地用地供应、宅基地分配、农民建房规划管理等工作的连续性和稳定性。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kern w:val="0"/>
          <w:sz w:val="32"/>
          <w:szCs w:val="32"/>
          <w:lang w:val="en-US" w:eastAsia="zh-CN"/>
        </w:rPr>
        <w:t>三、工作机制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（一）调度会议每月召开一次，由总召集人或召集人发起主持。根据工作需要或县委、县政府要求，临时召开全体会议或部分成员单位会议，参会人员可延伸至各乡（镇）政府和成员单位相关科室负责人。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（二）联席会议办公室提出需要研究解决的问题和事项，报总召集人审定会议议题，确定会议时间及形式。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（三）根据工作需要，可邀请其它相关部门和单位参加会议。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（四）联席会议以会议纪要形式明确会议议定事项，由总召集人签署后印发各相关单位，同时抄报县委、县政府。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kern w:val="0"/>
          <w:sz w:val="32"/>
          <w:szCs w:val="32"/>
          <w:lang w:val="en-US" w:eastAsia="zh-CN"/>
        </w:rPr>
        <w:t>四、工作要求</w:t>
      </w:r>
    </w:p>
    <w:p>
      <w:pPr>
        <w:pStyle w:val="2"/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kern w:val="0"/>
          <w:sz w:val="32"/>
          <w:szCs w:val="32"/>
          <w:lang w:val="en-US" w:eastAsia="zh-CN"/>
        </w:rPr>
        <w:t>各成员单位要根据任务分工，切实加强对本部门相关工作的组织、领导和协调，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kern w:val="0"/>
          <w:sz w:val="32"/>
          <w:szCs w:val="32"/>
        </w:rPr>
        <w:t>做好信息共享互通，推进管理重心下沉，共同做好农村宅基地审批和管理等工作。</w:t>
      </w:r>
    </w:p>
    <w:p>
      <w:pPr>
        <w:pStyle w:val="2"/>
        <w:widowControl w:val="0"/>
        <w:wordWrap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pStyle w:val="2"/>
        <w:widowControl w:val="0"/>
        <w:wordWrap/>
        <w:adjustRightInd/>
        <w:snapToGrid/>
        <w:spacing w:beforeLines="100" w:after="120" w:line="24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474" w:left="1587" w:header="851" w:footer="992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2550160</wp:posOffset>
              </wp:positionH>
              <wp:positionV relativeFrom="paragraph">
                <wp:posOffset>-111125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00.8pt;margin-top:-8.75pt;height:144pt;width:144pt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vsjYdgAAAALAQAADwAA&#10;AAAAAAABACAAAAAiAAAAZHJzL2Rvd25yZXYueG1sUEsBAhQAFAAAAAgAh07iQOlpqj6kAQAAPgMA&#10;AA4AAAAAAAAAAQAgAAAAJwEAAGRycy9lMm9Eb2MueG1sUEsFBgAAAAAGAAYAWQEAAD0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2021-04-02T08:41:02Z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