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6</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井工煤矿复建验收基本条件及检查判定表(现场)</w:t>
      </w:r>
    </w:p>
    <w:p>
      <w:r>
        <w:rPr>
          <w:rFonts w:hint="eastAsia"/>
        </w:rPr>
        <w:t>矿井名称：（盖章）年</w:t>
      </w:r>
      <w:r>
        <w:t xml:space="preserve">   </w:t>
      </w:r>
      <w:r>
        <w:rPr>
          <w:rFonts w:hint="eastAsia"/>
        </w:rPr>
        <w:t>月</w:t>
      </w:r>
      <w:r>
        <w:t xml:space="preserve">   </w:t>
      </w:r>
      <w:r>
        <w:rPr>
          <w:rFonts w:hint="eastAsia"/>
        </w:rPr>
        <w:t>日</w:t>
      </w:r>
    </w:p>
    <w:tbl>
      <w:tblPr>
        <w:tblW w:w="136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245"/>
        <w:gridCol w:w="2680"/>
        <w:gridCol w:w="4500"/>
        <w:gridCol w:w="1425"/>
        <w:gridCol w:w="1005"/>
        <w:gridCol w:w="1155"/>
        <w:gridCol w:w="833"/>
      </w:tblGrid>
      <w:tr>
        <w:trPr>
          <w:trHeight w:val="317" w:hRule="atLeast"/>
        </w:trPr>
        <w:tc>
          <w:tcPr>
            <w:tcW w:w="789" w:type="dxa"/>
            <w:vMerge w:val="restart"/>
            <w:vAlign w:val="center"/>
          </w:tcPr>
          <w:p>
            <w:pPr>
              <w:autoSpaceDN w:val="0"/>
              <w:jc w:val="center"/>
              <w:textAlignment w:val="center"/>
            </w:pPr>
            <w:r>
              <w:rPr>
                <w:rFonts w:hint="eastAsia" w:ascii="黑体" w:hAnsi="黑体" w:eastAsia="黑体"/>
                <w:b/>
                <w:color w:val="000000"/>
                <w:sz w:val="28"/>
              </w:rPr>
              <w:t>序号</w:t>
            </w:r>
          </w:p>
        </w:tc>
        <w:tc>
          <w:tcPr>
            <w:tcW w:w="1245" w:type="dxa"/>
            <w:vMerge w:val="restart"/>
            <w:vAlign w:val="center"/>
          </w:tcPr>
          <w:p>
            <w:pPr>
              <w:autoSpaceDN w:val="0"/>
              <w:jc w:val="center"/>
              <w:textAlignment w:val="center"/>
            </w:pPr>
            <w:r>
              <w:rPr>
                <w:rFonts w:hint="eastAsia" w:ascii="黑体" w:hAnsi="黑体" w:eastAsia="黑体"/>
                <w:b/>
                <w:color w:val="000000"/>
                <w:sz w:val="28"/>
              </w:rPr>
              <w:t>项目</w:t>
            </w:r>
          </w:p>
        </w:tc>
        <w:tc>
          <w:tcPr>
            <w:tcW w:w="2680" w:type="dxa"/>
            <w:vMerge w:val="restart"/>
            <w:vAlign w:val="center"/>
          </w:tcPr>
          <w:p>
            <w:pPr>
              <w:autoSpaceDN w:val="0"/>
              <w:jc w:val="center"/>
              <w:textAlignment w:val="center"/>
            </w:pPr>
            <w:r>
              <w:rPr>
                <w:rFonts w:hint="eastAsia" w:ascii="黑体" w:hAnsi="黑体" w:eastAsia="黑体"/>
                <w:b/>
                <w:color w:val="000000"/>
                <w:sz w:val="28"/>
              </w:rPr>
              <w:t>验收内容</w:t>
            </w:r>
          </w:p>
        </w:tc>
        <w:tc>
          <w:tcPr>
            <w:tcW w:w="4500" w:type="dxa"/>
            <w:vMerge w:val="restart"/>
            <w:vAlign w:val="center"/>
          </w:tcPr>
          <w:p>
            <w:pPr>
              <w:autoSpaceDN w:val="0"/>
              <w:jc w:val="center"/>
              <w:textAlignment w:val="center"/>
            </w:pPr>
            <w:r>
              <w:rPr>
                <w:rFonts w:hint="eastAsia" w:ascii="黑体" w:hAnsi="黑体" w:eastAsia="黑体"/>
                <w:b/>
                <w:color w:val="000000"/>
                <w:sz w:val="28"/>
              </w:rPr>
              <w:t>验收要求</w:t>
            </w:r>
          </w:p>
        </w:tc>
        <w:tc>
          <w:tcPr>
            <w:tcW w:w="1425" w:type="dxa"/>
            <w:vMerge w:val="restart"/>
            <w:vAlign w:val="center"/>
          </w:tcPr>
          <w:p>
            <w:pPr>
              <w:autoSpaceDN w:val="0"/>
              <w:jc w:val="center"/>
              <w:textAlignment w:val="center"/>
            </w:pPr>
            <w:r>
              <w:rPr>
                <w:rFonts w:hint="eastAsia" w:ascii="黑体" w:hAnsi="黑体" w:eastAsia="黑体"/>
                <w:b/>
                <w:color w:val="000000"/>
                <w:sz w:val="28"/>
              </w:rPr>
              <w:t>判定结果</w:t>
            </w:r>
          </w:p>
        </w:tc>
        <w:tc>
          <w:tcPr>
            <w:tcW w:w="2160" w:type="dxa"/>
            <w:gridSpan w:val="2"/>
            <w:vAlign w:val="center"/>
          </w:tcPr>
          <w:p>
            <w:pPr>
              <w:autoSpaceDN w:val="0"/>
              <w:jc w:val="center"/>
              <w:textAlignment w:val="center"/>
            </w:pPr>
            <w:r>
              <w:rPr>
                <w:rFonts w:hint="eastAsia" w:ascii="黑体" w:hAnsi="黑体" w:eastAsia="黑体"/>
                <w:b/>
                <w:color w:val="000000"/>
                <w:sz w:val="28"/>
              </w:rPr>
              <w:t>验收意见</w:t>
            </w:r>
          </w:p>
        </w:tc>
        <w:tc>
          <w:tcPr>
            <w:tcW w:w="833" w:type="dxa"/>
            <w:vMerge w:val="restart"/>
            <w:vAlign w:val="center"/>
          </w:tcPr>
          <w:p>
            <w:pPr>
              <w:autoSpaceDN w:val="0"/>
              <w:jc w:val="center"/>
              <w:textAlignment w:val="center"/>
            </w:pPr>
            <w:r>
              <w:rPr>
                <w:rFonts w:hint="eastAsia" w:ascii="黑体" w:hAnsi="黑体" w:eastAsia="黑体"/>
                <w:b/>
                <w:color w:val="000000"/>
                <w:sz w:val="28"/>
              </w:rPr>
              <w:t>签字</w:t>
            </w:r>
          </w:p>
        </w:tc>
      </w:tr>
      <w:tr>
        <w:tc>
          <w:tcPr>
            <w:tcW w:w="789" w:type="dxa"/>
            <w:vMerge w:val="continue"/>
            <w:vAlign w:val="center"/>
          </w:tcPr>
          <w:p/>
        </w:tc>
        <w:tc>
          <w:tcPr>
            <w:tcW w:w="1245" w:type="dxa"/>
            <w:vMerge w:val="continue"/>
            <w:vAlign w:val="center"/>
          </w:tcPr>
          <w:p>
            <w:pPr>
              <w:autoSpaceDN w:val="0"/>
              <w:jc w:val="center"/>
            </w:pPr>
          </w:p>
        </w:tc>
        <w:tc>
          <w:tcPr>
            <w:tcW w:w="2680" w:type="dxa"/>
            <w:vMerge w:val="continue"/>
            <w:vAlign w:val="center"/>
          </w:tcPr>
          <w:p/>
        </w:tc>
        <w:tc>
          <w:tcPr>
            <w:tcW w:w="4500" w:type="dxa"/>
            <w:vMerge w:val="continue"/>
            <w:vAlign w:val="center"/>
          </w:tcPr>
          <w:p/>
        </w:tc>
        <w:tc>
          <w:tcPr>
            <w:tcW w:w="1425" w:type="dxa"/>
            <w:vMerge w:val="continue"/>
            <w:vAlign w:val="center"/>
          </w:tcPr>
          <w:p/>
        </w:tc>
        <w:tc>
          <w:tcPr>
            <w:tcW w:w="1005" w:type="dxa"/>
            <w:vAlign w:val="center"/>
          </w:tcPr>
          <w:p>
            <w:pPr>
              <w:autoSpaceDN w:val="0"/>
              <w:jc w:val="center"/>
              <w:textAlignment w:val="center"/>
            </w:pPr>
            <w:r>
              <w:rPr>
                <w:rFonts w:hint="eastAsia" w:ascii="黑体" w:hAnsi="黑体" w:eastAsia="黑体"/>
                <w:b/>
                <w:color w:val="000000"/>
                <w:sz w:val="28"/>
              </w:rPr>
              <w:t>合格</w:t>
            </w:r>
          </w:p>
        </w:tc>
        <w:tc>
          <w:tcPr>
            <w:tcW w:w="1155" w:type="dxa"/>
            <w:vAlign w:val="center"/>
          </w:tcPr>
          <w:p>
            <w:pPr>
              <w:autoSpaceDN w:val="0"/>
              <w:jc w:val="center"/>
              <w:textAlignment w:val="center"/>
            </w:pPr>
            <w:r>
              <w:rPr>
                <w:rFonts w:hint="eastAsia" w:ascii="黑体" w:hAnsi="黑体" w:eastAsia="黑体"/>
                <w:b/>
                <w:color w:val="000000"/>
                <w:sz w:val="28"/>
              </w:rPr>
              <w:t>不合格</w:t>
            </w:r>
          </w:p>
        </w:tc>
        <w:tc>
          <w:tcPr>
            <w:tcW w:w="833" w:type="dxa"/>
            <w:vMerge w:val="continue"/>
            <w:vAlign w:val="center"/>
          </w:tcPr>
          <w:p>
            <w:pPr>
              <w:autoSpaceDN w:val="0"/>
              <w:jc w:val="center"/>
              <w:textAlignment w:val="center"/>
            </w:pPr>
          </w:p>
        </w:tc>
      </w:tr>
      <w:tr>
        <w:tc>
          <w:tcPr>
            <w:tcW w:w="789"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一</w:t>
            </w:r>
          </w:p>
        </w:tc>
        <w:tc>
          <w:tcPr>
            <w:tcW w:w="1245"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证照手续</w:t>
            </w:r>
          </w:p>
        </w:tc>
        <w:tc>
          <w:tcPr>
            <w:tcW w:w="2680" w:type="dxa"/>
            <w:vAlign w:val="center"/>
          </w:tcPr>
          <w:p>
            <w:pPr>
              <w:autoSpaceDN w:val="0"/>
              <w:spacing w:line="400" w:lineRule="exact"/>
              <w:textAlignment w:val="center"/>
              <w:rPr>
                <w:color w:val="000000"/>
                <w:sz w:val="24"/>
                <w:szCs w:val="24"/>
              </w:rPr>
            </w:pPr>
            <w:r>
              <w:rPr>
                <w:rFonts w:hint="eastAsia" w:ascii="宋体" w:hAnsi="宋体"/>
                <w:color w:val="000000"/>
                <w:sz w:val="24"/>
                <w:szCs w:val="24"/>
              </w:rPr>
              <w:t>营业执照</w:t>
            </w:r>
          </w:p>
        </w:tc>
        <w:tc>
          <w:tcPr>
            <w:tcW w:w="4500" w:type="dxa"/>
            <w:vAlign w:val="center"/>
          </w:tcPr>
          <w:p>
            <w:pPr>
              <w:autoSpaceDN w:val="0"/>
              <w:spacing w:line="400" w:lineRule="exact"/>
              <w:textAlignment w:val="center"/>
              <w:rPr>
                <w:color w:val="000000"/>
                <w:sz w:val="24"/>
                <w:szCs w:val="24"/>
              </w:rPr>
            </w:pPr>
            <w:r>
              <w:rPr>
                <w:rFonts w:hint="eastAsia" w:ascii="宋体" w:hAnsi="宋体"/>
                <w:color w:val="000000"/>
                <w:sz w:val="24"/>
                <w:szCs w:val="24"/>
              </w:rPr>
              <w:t>查证照。在有效期内</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spacing w:line="400" w:lineRule="exact"/>
              <w:textAlignment w:val="center"/>
              <w:rPr>
                <w:color w:val="000000"/>
                <w:sz w:val="24"/>
                <w:szCs w:val="24"/>
              </w:rPr>
            </w:pPr>
            <w:r>
              <w:rPr>
                <w:rFonts w:hint="eastAsia" w:ascii="宋体" w:hAnsi="宋体"/>
                <w:color w:val="000000"/>
                <w:sz w:val="24"/>
                <w:szCs w:val="24"/>
              </w:rPr>
              <w:t>采矿许可证</w:t>
            </w:r>
          </w:p>
        </w:tc>
        <w:tc>
          <w:tcPr>
            <w:tcW w:w="4500" w:type="dxa"/>
            <w:vAlign w:val="center"/>
          </w:tcPr>
          <w:p>
            <w:pPr>
              <w:autoSpaceDN w:val="0"/>
              <w:spacing w:line="400" w:lineRule="exact"/>
              <w:textAlignment w:val="center"/>
              <w:rPr>
                <w:color w:val="000000"/>
                <w:sz w:val="24"/>
                <w:szCs w:val="24"/>
              </w:rPr>
            </w:pPr>
            <w:r>
              <w:rPr>
                <w:rFonts w:hint="eastAsia" w:ascii="宋体" w:hAnsi="宋体"/>
                <w:color w:val="000000"/>
                <w:sz w:val="24"/>
                <w:szCs w:val="24"/>
              </w:rPr>
              <w:t>查证照。在有效期内</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spacing w:line="400" w:lineRule="exact"/>
              <w:textAlignment w:val="center"/>
              <w:rPr>
                <w:color w:val="000000"/>
                <w:sz w:val="24"/>
                <w:szCs w:val="24"/>
              </w:rPr>
            </w:pPr>
            <w:r>
              <w:rPr>
                <w:rFonts w:hint="eastAsia" w:ascii="宋体" w:hAnsi="宋体"/>
                <w:color w:val="000000"/>
                <w:sz w:val="24"/>
                <w:szCs w:val="24"/>
              </w:rPr>
              <w:t>开工报告的批准</w:t>
            </w:r>
          </w:p>
        </w:tc>
        <w:tc>
          <w:tcPr>
            <w:tcW w:w="4500" w:type="dxa"/>
            <w:vAlign w:val="center"/>
          </w:tcPr>
          <w:p>
            <w:pPr>
              <w:autoSpaceDN w:val="0"/>
              <w:spacing w:line="400" w:lineRule="exact"/>
              <w:textAlignment w:val="center"/>
              <w:rPr>
                <w:color w:val="000000"/>
                <w:sz w:val="24"/>
                <w:szCs w:val="24"/>
              </w:rPr>
            </w:pPr>
            <w:r>
              <w:rPr>
                <w:rFonts w:hint="eastAsia" w:ascii="宋体" w:hAnsi="宋体"/>
                <w:color w:val="000000"/>
                <w:sz w:val="24"/>
                <w:szCs w:val="24"/>
              </w:rPr>
              <w:t>查批复。在建设工期内</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spacing w:line="400" w:lineRule="exact"/>
              <w:textAlignment w:val="center"/>
              <w:rPr>
                <w:rFonts w:hint="eastAsia" w:eastAsia="宋体"/>
                <w:color w:val="000000"/>
                <w:sz w:val="24"/>
                <w:szCs w:val="24"/>
                <w:lang w:eastAsia="zh-CN"/>
              </w:rPr>
            </w:pPr>
            <w:r>
              <w:rPr>
                <w:rFonts w:hint="eastAsia" w:ascii="宋体" w:hAnsi="宋体"/>
                <w:color w:val="000000"/>
                <w:sz w:val="24"/>
                <w:szCs w:val="24"/>
              </w:rPr>
              <w:t>联合试运转方案的批准</w:t>
            </w:r>
            <w:r>
              <w:rPr>
                <w:rFonts w:hint="eastAsia" w:ascii="宋体" w:hAnsi="宋体"/>
                <w:color w:val="000000"/>
                <w:sz w:val="24"/>
                <w:szCs w:val="24"/>
                <w:lang w:eastAsia="zh-CN"/>
              </w:rPr>
              <w:t>（针对联合试运转矿井）</w:t>
            </w:r>
          </w:p>
        </w:tc>
        <w:tc>
          <w:tcPr>
            <w:tcW w:w="4500" w:type="dxa"/>
            <w:vAlign w:val="center"/>
          </w:tcPr>
          <w:p>
            <w:pPr>
              <w:autoSpaceDN w:val="0"/>
              <w:spacing w:line="400" w:lineRule="exact"/>
              <w:textAlignment w:val="center"/>
              <w:rPr>
                <w:color w:val="000000"/>
                <w:sz w:val="24"/>
                <w:szCs w:val="24"/>
              </w:rPr>
            </w:pPr>
            <w:r>
              <w:rPr>
                <w:rFonts w:hint="eastAsia" w:ascii="宋体" w:hAnsi="宋体"/>
                <w:color w:val="000000"/>
                <w:sz w:val="24"/>
                <w:szCs w:val="24"/>
              </w:rPr>
              <w:t>查批复。在批准期限内</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607" w:hRule="atLeast"/>
        </w:trPr>
        <w:tc>
          <w:tcPr>
            <w:tcW w:w="789"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二</w:t>
            </w:r>
          </w:p>
        </w:tc>
        <w:tc>
          <w:tcPr>
            <w:tcW w:w="1245"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安全管理</w:t>
            </w:r>
          </w:p>
        </w:tc>
        <w:tc>
          <w:tcPr>
            <w:tcW w:w="2680" w:type="dxa"/>
            <w:vAlign w:val="center"/>
          </w:tcPr>
          <w:p>
            <w:pPr>
              <w:autoSpaceDN w:val="0"/>
              <w:textAlignment w:val="center"/>
              <w:rPr>
                <w:color w:val="000000"/>
                <w:sz w:val="24"/>
                <w:szCs w:val="24"/>
              </w:rPr>
            </w:pPr>
            <w:r>
              <w:rPr>
                <w:rFonts w:hint="eastAsia"/>
                <w:color w:val="000000"/>
                <w:sz w:val="24"/>
                <w:szCs w:val="24"/>
              </w:rPr>
              <w:t>安全生产责任制</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查制度。检查各级负责人、各部门、各岗位安全</w:t>
            </w:r>
            <w:r>
              <w:rPr>
                <w:rFonts w:hint="eastAsia"/>
                <w:color w:val="000000"/>
                <w:sz w:val="24"/>
                <w:szCs w:val="24"/>
              </w:rPr>
              <w:t>生产责任制建立及执行情况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安全生产目标管理、投入、奖惩、技术措施审批、培训、办公会议制度</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查制度。检查制度</w:t>
            </w:r>
            <w:r>
              <w:rPr>
                <w:rFonts w:hint="eastAsia" w:ascii="宋体" w:hAnsi="宋体"/>
                <w:color w:val="000000"/>
                <w:sz w:val="24"/>
                <w:szCs w:val="24"/>
                <w:lang w:eastAsia="zh-CN"/>
              </w:rPr>
              <w:t>建立</w:t>
            </w:r>
            <w:r>
              <w:rPr>
                <w:rFonts w:hint="eastAsia" w:ascii="宋体" w:hAnsi="宋体"/>
                <w:color w:val="000000"/>
                <w:sz w:val="24"/>
                <w:szCs w:val="24"/>
              </w:rPr>
              <w:t>情况，并随机抽查一个季度的执行情况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rFonts w:ascii="宋体"/>
                <w:color w:val="000000"/>
                <w:sz w:val="24"/>
                <w:szCs w:val="24"/>
              </w:rPr>
            </w:pPr>
            <w:r>
              <w:rPr>
                <w:rFonts w:hint="eastAsia" w:ascii="宋体" w:hAnsi="宋体"/>
                <w:color w:val="000000"/>
                <w:sz w:val="24"/>
                <w:szCs w:val="24"/>
              </w:rPr>
              <w:t>领导带班下井</w:t>
            </w:r>
          </w:p>
        </w:tc>
        <w:tc>
          <w:tcPr>
            <w:tcW w:w="4500" w:type="dxa"/>
            <w:vAlign w:val="center"/>
          </w:tcPr>
          <w:p>
            <w:pPr>
              <w:autoSpaceDN w:val="0"/>
              <w:textAlignment w:val="center"/>
              <w:rPr>
                <w:rFonts w:ascii="宋体"/>
                <w:color w:val="000000"/>
                <w:sz w:val="24"/>
                <w:szCs w:val="24"/>
              </w:rPr>
            </w:pPr>
            <w:r>
              <w:rPr>
                <w:rFonts w:hint="eastAsia" w:ascii="宋体" w:hAnsi="宋体"/>
                <w:color w:val="000000"/>
                <w:sz w:val="24"/>
                <w:szCs w:val="24"/>
              </w:rPr>
              <w:t>查制度。检查制度健全情况，并随机抽查一个月的建设单位和施工单位领导带班下井情况和下个月带班计划，符合《煤矿领导带班下井及安全监督检查规定》（国家安全生产监督管理总局令第</w:t>
            </w:r>
            <w:r>
              <w:rPr>
                <w:rFonts w:ascii="宋体" w:hAnsi="宋体"/>
                <w:color w:val="000000"/>
                <w:sz w:val="24"/>
                <w:szCs w:val="24"/>
              </w:rPr>
              <w:t>33</w:t>
            </w:r>
            <w:r>
              <w:rPr>
                <w:rFonts w:hint="eastAsia" w:ascii="宋体" w:hAnsi="宋体"/>
                <w:color w:val="000000"/>
                <w:sz w:val="24"/>
                <w:szCs w:val="24"/>
              </w:rPr>
              <w:t>号）</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2134" w:hRule="atLeast"/>
        </w:trPr>
        <w:tc>
          <w:tcPr>
            <w:tcW w:w="789"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三</w:t>
            </w:r>
          </w:p>
        </w:tc>
        <w:tc>
          <w:tcPr>
            <w:tcW w:w="1245" w:type="dxa"/>
            <w:vMerge w:val="restart"/>
            <w:vAlign w:val="center"/>
          </w:tcPr>
          <w:p>
            <w:pPr>
              <w:autoSpaceDN w:val="0"/>
              <w:jc w:val="center"/>
              <w:textAlignment w:val="center"/>
              <w:rPr>
                <w:rFonts w:ascii="宋体"/>
                <w:color w:val="000000"/>
                <w:sz w:val="24"/>
                <w:szCs w:val="24"/>
              </w:rPr>
            </w:pPr>
            <w:r>
              <w:rPr>
                <w:rFonts w:hint="eastAsia" w:ascii="宋体" w:hAnsi="宋体"/>
                <w:color w:val="000000"/>
                <w:sz w:val="24"/>
                <w:szCs w:val="24"/>
              </w:rPr>
              <w:t>施工</w:t>
            </w:r>
          </w:p>
          <w:p>
            <w:pPr>
              <w:autoSpaceDN w:val="0"/>
              <w:jc w:val="center"/>
              <w:textAlignment w:val="center"/>
              <w:rPr>
                <w:color w:val="000000"/>
                <w:sz w:val="24"/>
                <w:szCs w:val="24"/>
              </w:rPr>
            </w:pPr>
            <w:r>
              <w:rPr>
                <w:rFonts w:hint="eastAsia" w:ascii="宋体" w:hAnsi="宋体"/>
                <w:color w:val="000000"/>
                <w:sz w:val="24"/>
                <w:szCs w:val="24"/>
              </w:rPr>
              <w:t>管理</w:t>
            </w: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施工项目部</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人员。检查施工项目部配备项目经理、技术负责人、安全负责人、机电负责人、工程质量负责人等管理人员的情况；通过检查施工项目部的项目经理有无建造师执业资格证书，以及安全管理人员和特种作业人员的数量，核查有无挂靠施工资质行为</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施工单位安全主体责任</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查资料和现场。检查安全生产管理制度的建立及执行情况，检查施工项目部配备专职通风、水文地质专业管理人员及安全员、瓦斯检查员、特种作业人员的情况，随机检查一个季度的落实情况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监理单位监理责任</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查资料。检查工程监理企业资质</w:t>
            </w:r>
            <w:r>
              <w:rPr>
                <w:rFonts w:hint="eastAsia" w:ascii="宋体" w:hAnsi="宋体"/>
                <w:color w:val="000000"/>
                <w:sz w:val="24"/>
                <w:szCs w:val="24"/>
                <w:lang w:eastAsia="zh-CN"/>
              </w:rPr>
              <w:t>（符合相关规定）</w:t>
            </w:r>
            <w:r>
              <w:rPr>
                <w:rFonts w:hint="eastAsia" w:ascii="宋体" w:hAnsi="宋体"/>
                <w:color w:val="000000"/>
                <w:sz w:val="24"/>
                <w:szCs w:val="24"/>
              </w:rPr>
              <w:t>证书、配备具备监理资格及专业技术的监理人员和数量的情况，随机检查一个季度的现场监理情况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初步设计、安全专篇</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查资料和现场。检查初步设计、安全专篇及重大变更的审查批准文件，现场检查在建项目工程施工过程中的贯彻情况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3240" w:hRule="atLeast"/>
        </w:trP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工程施工进度</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查资料和现场。检查贯彻施工组织设计提出的一期、二期、三期工程施工情况，施工顺序符合《关于进一步加强煤矿建设项目安全管理的通知》（发改能源〔</w:t>
            </w:r>
            <w:r>
              <w:rPr>
                <w:rFonts w:ascii="宋体" w:hAnsi="宋体"/>
                <w:color w:val="000000"/>
                <w:sz w:val="24"/>
                <w:szCs w:val="24"/>
              </w:rPr>
              <w:t>2010</w:t>
            </w:r>
            <w:r>
              <w:rPr>
                <w:rFonts w:hint="eastAsia" w:ascii="宋体" w:hAnsi="宋体"/>
                <w:color w:val="000000"/>
                <w:sz w:val="24"/>
                <w:szCs w:val="24"/>
              </w:rPr>
              <w:t>〕</w:t>
            </w:r>
            <w:r>
              <w:rPr>
                <w:rFonts w:ascii="宋体" w:hAnsi="宋体"/>
                <w:color w:val="000000"/>
                <w:sz w:val="24"/>
                <w:szCs w:val="24"/>
              </w:rPr>
              <w:t>709</w:t>
            </w:r>
            <w:r>
              <w:rPr>
                <w:rFonts w:hint="eastAsia" w:ascii="宋体" w:hAnsi="宋体"/>
                <w:color w:val="000000"/>
                <w:sz w:val="24"/>
                <w:szCs w:val="24"/>
              </w:rPr>
              <w:t>号）的第七条关于合理安排煤矿建设项目施工顺序的规定，且一期、二期、三期工程的施工工期控制在施工组织设计的计划时间内，工程提前结束的时间不得大于</w:t>
            </w:r>
            <w:r>
              <w:rPr>
                <w:rFonts w:ascii="宋体" w:hAnsi="宋体"/>
                <w:color w:val="000000"/>
                <w:sz w:val="24"/>
                <w:szCs w:val="24"/>
              </w:rPr>
              <w:t>3</w:t>
            </w:r>
            <w:r>
              <w:rPr>
                <w:rFonts w:hint="eastAsia" w:ascii="宋体" w:hAnsi="宋体"/>
                <w:color w:val="000000"/>
                <w:sz w:val="24"/>
                <w:szCs w:val="24"/>
              </w:rPr>
              <w:t>个月（因故停建影响工期的，按扣除影响的时间计算）</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安全施工管理</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查资料和现场。检查单位工程施工组织设计、作业规程、安全技术措施的编制情况，随机检查一个季度的实施情况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井下作业限员制度</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查资料。检查制定的井下作业限员制度和人员位置监测系统运行情况，随机抽查矿井单班作业人数、掘进工作面作业人数，符合《煤矿井下单班作业人数限员规定（试行）》要求</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依法依规施工</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查资料和现场。建设单位与施工单位不得签订出煤（不包括工程煤）协议；必须在批准的设计范围内施工，不存在超设计区域或煤层外施工，不存在边建设边生产现象</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842" w:hRule="atLeast"/>
        </w:trPr>
        <w:tc>
          <w:tcPr>
            <w:tcW w:w="789"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四</w:t>
            </w:r>
          </w:p>
        </w:tc>
        <w:tc>
          <w:tcPr>
            <w:tcW w:w="1245"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一通三防</w:t>
            </w: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通风系统</w:t>
            </w:r>
          </w:p>
        </w:tc>
        <w:tc>
          <w:tcPr>
            <w:tcW w:w="4500" w:type="dxa"/>
            <w:vAlign w:val="center"/>
          </w:tcPr>
          <w:p>
            <w:pPr>
              <w:autoSpaceDN w:val="0"/>
              <w:ind w:firstLine="240" w:firstLineChars="100"/>
              <w:textAlignment w:val="center"/>
              <w:rPr>
                <w:rFonts w:hint="eastAsia" w:ascii="宋体" w:hAnsi="宋体"/>
                <w:color w:val="000000"/>
                <w:sz w:val="24"/>
                <w:szCs w:val="24"/>
              </w:rPr>
            </w:pPr>
            <w:r>
              <w:rPr>
                <w:rFonts w:hint="eastAsia" w:ascii="宋体" w:hAnsi="宋体"/>
                <w:color w:val="000000"/>
                <w:sz w:val="24"/>
                <w:szCs w:val="24"/>
              </w:rPr>
              <w:t>查图纸和现场。建设施工期间安装使用机械通风设备，高瓦斯、煤与瓦斯突出矿井进入二期工程前，其他建设矿井进入三期工程前，形成由地面主要通风机供风的全风压通风系统</w:t>
            </w:r>
          </w:p>
          <w:p>
            <w:pPr>
              <w:autoSpaceDN w:val="0"/>
              <w:ind w:firstLine="240" w:firstLineChars="100"/>
              <w:textAlignment w:val="center"/>
              <w:rPr>
                <w:color w:val="000000"/>
                <w:sz w:val="24"/>
                <w:szCs w:val="24"/>
              </w:rPr>
            </w:pPr>
            <w:r>
              <w:rPr>
                <w:rFonts w:hint="eastAsia" w:ascii="宋体" w:hAnsi="宋体"/>
                <w:color w:val="000000"/>
                <w:sz w:val="24"/>
                <w:szCs w:val="24"/>
              </w:rPr>
              <w:t>二、三期工程必须绘制通风系统图</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掘进工作面通风</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查图纸和现场。检查掘进工作面通风，符合《煤矿安全规程》第</w:t>
            </w:r>
            <w:r>
              <w:rPr>
                <w:rFonts w:ascii="宋体" w:hAnsi="宋体"/>
                <w:color w:val="000000"/>
                <w:sz w:val="24"/>
                <w:szCs w:val="24"/>
              </w:rPr>
              <w:t>150</w:t>
            </w:r>
            <w:r>
              <w:rPr>
                <w:rFonts w:hint="eastAsia" w:ascii="宋体" w:hAnsi="宋体"/>
                <w:color w:val="000000"/>
                <w:sz w:val="24"/>
                <w:szCs w:val="24"/>
              </w:rPr>
              <w:t>、</w:t>
            </w:r>
            <w:r>
              <w:rPr>
                <w:rFonts w:ascii="宋体" w:hAnsi="宋体"/>
                <w:color w:val="000000"/>
                <w:sz w:val="24"/>
                <w:szCs w:val="24"/>
              </w:rPr>
              <w:t>153</w:t>
            </w:r>
            <w:r>
              <w:rPr>
                <w:rFonts w:hint="eastAsia" w:ascii="宋体" w:hAnsi="宋体"/>
                <w:color w:val="000000"/>
                <w:sz w:val="24"/>
                <w:szCs w:val="24"/>
              </w:rPr>
              <w:t>、</w:t>
            </w:r>
            <w:r>
              <w:rPr>
                <w:rFonts w:ascii="宋体" w:hAnsi="宋体"/>
                <w:color w:val="000000"/>
                <w:sz w:val="24"/>
                <w:szCs w:val="24"/>
              </w:rPr>
              <w:t>163</w:t>
            </w:r>
            <w:r>
              <w:rPr>
                <w:rFonts w:hint="eastAsia" w:ascii="宋体" w:hAnsi="宋体"/>
                <w:color w:val="000000"/>
                <w:sz w:val="24"/>
                <w:szCs w:val="24"/>
              </w:rPr>
              <w:t>条等规定</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掘进工作面的局部通风机</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查现场。检查掘进工作面的局部通风机，符合《煤矿安全规程》第</w:t>
            </w:r>
            <w:r>
              <w:rPr>
                <w:rFonts w:ascii="宋体" w:hAnsi="宋体"/>
                <w:color w:val="000000"/>
                <w:sz w:val="24"/>
                <w:szCs w:val="24"/>
              </w:rPr>
              <w:t>164</w:t>
            </w:r>
            <w:r>
              <w:rPr>
                <w:rFonts w:hint="eastAsia" w:ascii="宋体" w:hAnsi="宋体"/>
                <w:color w:val="000000"/>
                <w:sz w:val="24"/>
                <w:szCs w:val="24"/>
              </w:rPr>
              <w:t>、</w:t>
            </w:r>
            <w:r>
              <w:rPr>
                <w:rFonts w:ascii="宋体" w:hAnsi="宋体"/>
                <w:color w:val="000000"/>
                <w:sz w:val="24"/>
                <w:szCs w:val="24"/>
              </w:rPr>
              <w:t>165</w:t>
            </w:r>
            <w:r>
              <w:rPr>
                <w:rFonts w:hint="eastAsia" w:ascii="宋体" w:hAnsi="宋体"/>
                <w:color w:val="000000"/>
                <w:sz w:val="24"/>
                <w:szCs w:val="24"/>
              </w:rPr>
              <w:t>条的规定</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通风设施</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查现场。检查通风设施，符合《煤矿安全规程》的规定</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有毒有害气体监测</w:t>
            </w:r>
          </w:p>
        </w:tc>
        <w:tc>
          <w:tcPr>
            <w:tcW w:w="4500" w:type="dxa"/>
            <w:vAlign w:val="center"/>
          </w:tcPr>
          <w:p>
            <w:pPr>
              <w:autoSpaceDN w:val="0"/>
              <w:textAlignment w:val="center"/>
              <w:rPr>
                <w:color w:val="000000"/>
                <w:sz w:val="24"/>
                <w:szCs w:val="24"/>
              </w:rPr>
            </w:pPr>
            <w:r>
              <w:rPr>
                <w:rFonts w:hint="eastAsia"/>
                <w:color w:val="000000"/>
                <w:sz w:val="24"/>
                <w:szCs w:val="24"/>
              </w:rPr>
              <w:t>查资料和现场。检查瓦斯以及其它有毒有害气体的检查和监测记录，以及超限按规定分析和处理情况，现场无超限情况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2094" w:hRule="atLeast"/>
        </w:trP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抽采瓦斯系统及抽采达标工作</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查资料和现场。检查抽采瓦斯系统，符合《煤矿安全规程》第</w:t>
            </w:r>
            <w:r>
              <w:rPr>
                <w:rFonts w:ascii="宋体" w:hAnsi="宋体"/>
                <w:color w:val="000000"/>
                <w:sz w:val="24"/>
                <w:szCs w:val="24"/>
              </w:rPr>
              <w:t>181</w:t>
            </w:r>
            <w:r>
              <w:rPr>
                <w:rFonts w:hint="eastAsia" w:ascii="宋体" w:hAnsi="宋体"/>
                <w:color w:val="000000"/>
                <w:sz w:val="24"/>
                <w:szCs w:val="24"/>
              </w:rPr>
              <w:t>条</w:t>
            </w:r>
            <w:r>
              <w:rPr>
                <w:rFonts w:hint="eastAsia" w:ascii="宋体" w:hAnsi="宋体"/>
                <w:color w:val="000000"/>
                <w:sz w:val="24"/>
                <w:szCs w:val="24"/>
                <w:lang w:eastAsia="zh-CN"/>
              </w:rPr>
              <w:t>，以及瓦斯</w:t>
            </w:r>
            <w:r>
              <w:rPr>
                <w:rFonts w:hint="eastAsia" w:ascii="宋体" w:hAnsi="宋体"/>
                <w:color w:val="000000"/>
                <w:sz w:val="24"/>
                <w:szCs w:val="24"/>
              </w:rPr>
              <w:t>抽采</w:t>
            </w:r>
            <w:r>
              <w:rPr>
                <w:rFonts w:hint="eastAsia" w:ascii="宋体" w:hAnsi="宋体"/>
                <w:color w:val="000000"/>
                <w:sz w:val="24"/>
                <w:szCs w:val="24"/>
                <w:lang w:eastAsia="zh-CN"/>
              </w:rPr>
              <w:t>达标</w:t>
            </w:r>
            <w:r>
              <w:rPr>
                <w:rFonts w:hint="eastAsia" w:ascii="宋体" w:hAnsi="宋体"/>
                <w:color w:val="000000"/>
                <w:sz w:val="24"/>
                <w:szCs w:val="24"/>
              </w:rPr>
              <w:t>的规定。其中：煤与瓦斯突出矿井揭露突出煤层前，要形成抽采瓦斯系统并投入运行；高瓦斯矿井在进入三期工程前，要形成抽采瓦斯系统并投入运行</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使用金属抽采瓦斯管路</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查现场。不得使用非金属抽采瓦斯管路，绝缘段除外</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两个</w:t>
            </w:r>
            <w:r>
              <w:rPr>
                <w:rFonts w:hint="eastAsia" w:ascii="宋体"/>
                <w:color w:val="000000"/>
                <w:sz w:val="24"/>
                <w:szCs w:val="24"/>
              </w:rPr>
              <w:t>“</w:t>
            </w:r>
            <w:r>
              <w:rPr>
                <w:rFonts w:hint="eastAsia" w:ascii="宋体" w:hAnsi="宋体"/>
                <w:color w:val="000000"/>
                <w:sz w:val="24"/>
                <w:szCs w:val="24"/>
              </w:rPr>
              <w:t>四位一体</w:t>
            </w:r>
            <w:r>
              <w:rPr>
                <w:rFonts w:hint="eastAsia" w:ascii="宋体"/>
                <w:color w:val="000000"/>
                <w:sz w:val="24"/>
                <w:szCs w:val="24"/>
              </w:rPr>
              <w:t>”</w:t>
            </w:r>
            <w:r>
              <w:rPr>
                <w:rFonts w:hint="eastAsia" w:ascii="宋体" w:hAnsi="宋体"/>
                <w:color w:val="000000"/>
                <w:sz w:val="24"/>
                <w:szCs w:val="24"/>
              </w:rPr>
              <w:t>综合防突措施</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查资料和现场。检查区域、局部防突措施落实及防突效果达标的情况，符合《煤矿安全规程》和《防治煤与瓦斯突出规定》的规定</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防灭火管理</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查资料和现场。检查防灭火专项设计，以及综合预防煤层自燃发火措施的落实情况。煤层无自然发火现象</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防尘供水系统</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查资料和现场。检查防尘供水系统，符合《煤矿安全规程》规定，并能正常使用；检查防尘措施落实情况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106" w:hRule="atLeast"/>
        </w:trP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安全监控系统</w:t>
            </w:r>
          </w:p>
        </w:tc>
        <w:tc>
          <w:tcPr>
            <w:tcW w:w="4500" w:type="dxa"/>
            <w:vAlign w:val="center"/>
          </w:tcPr>
          <w:p>
            <w:pPr>
              <w:autoSpaceDN w:val="0"/>
              <w:textAlignment w:val="center"/>
              <w:rPr>
                <w:rFonts w:hint="eastAsia" w:eastAsia="宋体"/>
                <w:color w:val="000000"/>
                <w:sz w:val="24"/>
                <w:szCs w:val="24"/>
                <w:lang w:eastAsia="zh-CN"/>
              </w:rPr>
            </w:pPr>
            <w:r>
              <w:rPr>
                <w:rFonts w:hint="eastAsia" w:ascii="宋体" w:hAnsi="宋体"/>
                <w:color w:val="000000"/>
                <w:sz w:val="24"/>
                <w:szCs w:val="24"/>
              </w:rPr>
              <w:t>查资料和现场。一期井筒揭煤前，安装瓦斯监测监控仪器设备；进入二期工程前，安装安全监控系统</w:t>
            </w:r>
            <w:r>
              <w:rPr>
                <w:rFonts w:hint="eastAsia" w:ascii="宋体" w:hAnsi="宋体"/>
                <w:color w:val="000000"/>
                <w:sz w:val="24"/>
                <w:szCs w:val="24"/>
                <w:lang w:eastAsia="zh-CN"/>
              </w:rPr>
              <w:t>。且能正常运行</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火工品管理</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查资料和现场。按矿井瓦斯等级选用相应的煤矿许用炸药和雷管，爆破由专职爆破工担任，并执行火工品领取、运输、使用、回收、存放等制度</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906" w:hRule="atLeast"/>
        </w:trPr>
        <w:tc>
          <w:tcPr>
            <w:tcW w:w="789" w:type="dxa"/>
            <w:vMerge w:val="restart"/>
            <w:vAlign w:val="center"/>
          </w:tcPr>
          <w:p>
            <w:pPr>
              <w:autoSpaceDN w:val="0"/>
              <w:jc w:val="center"/>
              <w:textAlignment w:val="center"/>
              <w:rPr>
                <w:color w:val="000000"/>
                <w:sz w:val="24"/>
                <w:szCs w:val="24"/>
              </w:rPr>
            </w:pPr>
            <w:r>
              <w:rPr>
                <w:rFonts w:hint="eastAsia" w:ascii="宋体" w:hAnsi="宋体"/>
                <w:color w:val="000000"/>
                <w:sz w:val="24"/>
                <w:szCs w:val="24"/>
              </w:rPr>
              <w:t>五</w:t>
            </w:r>
          </w:p>
        </w:tc>
        <w:tc>
          <w:tcPr>
            <w:tcW w:w="1245" w:type="dxa"/>
            <w:vMerge w:val="restart"/>
            <w:vAlign w:val="center"/>
          </w:tcPr>
          <w:p>
            <w:pPr>
              <w:autoSpaceDN w:val="0"/>
              <w:jc w:val="center"/>
              <w:textAlignment w:val="center"/>
              <w:rPr>
                <w:rFonts w:ascii="宋体"/>
                <w:color w:val="000000"/>
                <w:sz w:val="24"/>
                <w:szCs w:val="24"/>
              </w:rPr>
            </w:pPr>
            <w:r>
              <w:rPr>
                <w:rFonts w:hint="eastAsia" w:ascii="宋体" w:hAnsi="宋体"/>
                <w:color w:val="000000"/>
                <w:sz w:val="24"/>
                <w:szCs w:val="24"/>
              </w:rPr>
              <w:t>地测</w:t>
            </w:r>
          </w:p>
          <w:p>
            <w:pPr>
              <w:autoSpaceDN w:val="0"/>
              <w:jc w:val="center"/>
              <w:textAlignment w:val="center"/>
              <w:rPr>
                <w:color w:val="000000"/>
                <w:sz w:val="24"/>
                <w:szCs w:val="24"/>
              </w:rPr>
            </w:pPr>
            <w:r>
              <w:rPr>
                <w:rFonts w:hint="eastAsia" w:ascii="宋体" w:hAnsi="宋体"/>
                <w:color w:val="000000"/>
                <w:sz w:val="24"/>
                <w:szCs w:val="24"/>
              </w:rPr>
              <w:t>防治水</w:t>
            </w: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地质预测预报</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查资料和现场。检查单项工程、单位工程的地质预测预报，做到一工程一预报</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rPr>
          <w:trHeight w:val="1103" w:hRule="atLeast"/>
        </w:trP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矿井排水系统</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查资料和现场。检查施工期间的涌水量台帐、井下水动态观测成果资料；排水系统符合《煤矿安全规程》第</w:t>
            </w:r>
            <w:r>
              <w:rPr>
                <w:rFonts w:ascii="宋体" w:hAnsi="宋体"/>
                <w:color w:val="000000"/>
                <w:sz w:val="24"/>
                <w:szCs w:val="24"/>
              </w:rPr>
              <w:t>82</w:t>
            </w:r>
            <w:r>
              <w:rPr>
                <w:rFonts w:hint="eastAsia" w:ascii="宋体" w:hAnsi="宋体"/>
                <w:color w:val="000000"/>
                <w:sz w:val="24"/>
                <w:szCs w:val="24"/>
              </w:rPr>
              <w:t>条的规定，各施工区设置有临时排水系统</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color w:val="000000"/>
                <w:sz w:val="24"/>
                <w:szCs w:val="24"/>
              </w:rPr>
            </w:pPr>
          </w:p>
        </w:tc>
        <w:tc>
          <w:tcPr>
            <w:tcW w:w="1245" w:type="dxa"/>
            <w:vMerge w:val="continue"/>
            <w:vAlign w:val="center"/>
          </w:tcPr>
          <w:p>
            <w:pPr>
              <w:autoSpaceDN w:val="0"/>
              <w:jc w:val="center"/>
              <w:rPr>
                <w:color w:val="000000"/>
                <w:sz w:val="24"/>
                <w:szCs w:val="24"/>
              </w:rPr>
            </w:pPr>
          </w:p>
        </w:tc>
        <w:tc>
          <w:tcPr>
            <w:tcW w:w="2680" w:type="dxa"/>
            <w:vAlign w:val="center"/>
          </w:tcPr>
          <w:p>
            <w:pPr>
              <w:autoSpaceDN w:val="0"/>
              <w:textAlignment w:val="center"/>
              <w:rPr>
                <w:color w:val="000000"/>
                <w:sz w:val="24"/>
                <w:szCs w:val="24"/>
              </w:rPr>
            </w:pPr>
            <w:r>
              <w:rPr>
                <w:rFonts w:hint="eastAsia" w:ascii="宋体" w:hAnsi="宋体"/>
                <w:color w:val="000000"/>
                <w:sz w:val="24"/>
                <w:szCs w:val="24"/>
              </w:rPr>
              <w:t>防治水专业技术人员、专用探放水设备、专门的探放水作业队伍</w:t>
            </w:r>
          </w:p>
        </w:tc>
        <w:tc>
          <w:tcPr>
            <w:tcW w:w="4500" w:type="dxa"/>
            <w:vAlign w:val="center"/>
          </w:tcPr>
          <w:p>
            <w:pPr>
              <w:autoSpaceDN w:val="0"/>
              <w:textAlignment w:val="center"/>
              <w:rPr>
                <w:color w:val="000000"/>
                <w:sz w:val="24"/>
                <w:szCs w:val="24"/>
              </w:rPr>
            </w:pPr>
            <w:r>
              <w:rPr>
                <w:rFonts w:hint="eastAsia" w:ascii="宋体" w:hAnsi="宋体"/>
                <w:color w:val="000000"/>
                <w:sz w:val="24"/>
                <w:szCs w:val="24"/>
              </w:rPr>
              <w:t>查资料和现场。检查矿井的防治水专业技术人员，以及配齐专用探放水设备、建立专门的探放水作业队伍等情况，能满足日常工作需要</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845" w:hRule="atLeast"/>
        </w:trPr>
        <w:tc>
          <w:tcPr>
            <w:tcW w:w="789" w:type="dxa"/>
            <w:vMerge w:val="restart"/>
            <w:vAlign w:val="center"/>
          </w:tcPr>
          <w:p>
            <w:pPr>
              <w:autoSpaceDN w:val="0"/>
              <w:jc w:val="center"/>
              <w:textAlignment w:val="center"/>
              <w:rPr>
                <w:sz w:val="24"/>
                <w:szCs w:val="24"/>
              </w:rPr>
            </w:pPr>
            <w:r>
              <w:rPr>
                <w:rFonts w:hint="eastAsia" w:ascii="宋体" w:hAnsi="宋体"/>
                <w:color w:val="000000"/>
                <w:sz w:val="24"/>
                <w:szCs w:val="24"/>
              </w:rPr>
              <w:t>六</w:t>
            </w:r>
          </w:p>
        </w:tc>
        <w:tc>
          <w:tcPr>
            <w:tcW w:w="1245" w:type="dxa"/>
            <w:vMerge w:val="restart"/>
            <w:vAlign w:val="center"/>
          </w:tcPr>
          <w:p>
            <w:pPr>
              <w:autoSpaceDN w:val="0"/>
              <w:jc w:val="center"/>
              <w:textAlignment w:val="center"/>
              <w:rPr>
                <w:sz w:val="24"/>
                <w:szCs w:val="24"/>
              </w:rPr>
            </w:pPr>
            <w:r>
              <w:rPr>
                <w:rFonts w:hint="eastAsia" w:ascii="宋体" w:hAnsi="宋体"/>
                <w:color w:val="000000"/>
                <w:sz w:val="24"/>
                <w:szCs w:val="24"/>
              </w:rPr>
              <w:t>机电运输</w:t>
            </w:r>
          </w:p>
        </w:tc>
        <w:tc>
          <w:tcPr>
            <w:tcW w:w="2680" w:type="dxa"/>
            <w:vAlign w:val="center"/>
          </w:tcPr>
          <w:p>
            <w:pPr>
              <w:autoSpaceDN w:val="0"/>
              <w:textAlignment w:val="center"/>
              <w:rPr>
                <w:sz w:val="24"/>
                <w:szCs w:val="24"/>
              </w:rPr>
            </w:pPr>
            <w:r>
              <w:rPr>
                <w:rFonts w:hint="eastAsia" w:ascii="宋体" w:hAnsi="宋体"/>
                <w:color w:val="000000"/>
                <w:sz w:val="24"/>
                <w:szCs w:val="24"/>
              </w:rPr>
              <w:t>供配电系统</w:t>
            </w:r>
          </w:p>
        </w:tc>
        <w:tc>
          <w:tcPr>
            <w:tcW w:w="4500" w:type="dxa"/>
            <w:vAlign w:val="center"/>
          </w:tcPr>
          <w:p>
            <w:pPr>
              <w:autoSpaceDN w:val="0"/>
              <w:textAlignment w:val="center"/>
              <w:rPr>
                <w:sz w:val="24"/>
                <w:szCs w:val="24"/>
              </w:rPr>
            </w:pPr>
            <w:r>
              <w:rPr>
                <w:rFonts w:hint="eastAsia" w:ascii="宋体" w:hAnsi="宋体"/>
                <w:color w:val="000000"/>
                <w:sz w:val="24"/>
                <w:szCs w:val="24"/>
              </w:rPr>
              <w:t>查资料和现场。检查两回路供电系统。</w:t>
            </w:r>
            <w:r>
              <w:rPr>
                <w:rFonts w:ascii="宋体"/>
                <w:color w:val="000000"/>
                <w:sz w:val="24"/>
                <w:szCs w:val="24"/>
              </w:rPr>
              <w:br/>
            </w:r>
            <w:r>
              <w:rPr>
                <w:rFonts w:hint="eastAsia" w:ascii="宋体" w:hAnsi="宋体"/>
                <w:color w:val="000000"/>
                <w:sz w:val="24"/>
                <w:szCs w:val="24"/>
              </w:rPr>
              <w:t>其中：高瓦斯、煤与瓦斯突出、水文地质类型复杂和极复杂的矿井进入巷道和硐室施工前，其他矿井进入采区巷道施工前，形成两回路供电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电气设备管理</w:t>
            </w:r>
          </w:p>
        </w:tc>
        <w:tc>
          <w:tcPr>
            <w:tcW w:w="4500" w:type="dxa"/>
            <w:vAlign w:val="center"/>
          </w:tcPr>
          <w:p>
            <w:pPr>
              <w:autoSpaceDN w:val="0"/>
              <w:textAlignment w:val="center"/>
              <w:rPr>
                <w:sz w:val="24"/>
                <w:szCs w:val="24"/>
              </w:rPr>
            </w:pPr>
            <w:r>
              <w:rPr>
                <w:rFonts w:hint="eastAsia" w:ascii="宋体" w:hAnsi="宋体"/>
                <w:color w:val="000000"/>
                <w:sz w:val="24"/>
                <w:szCs w:val="24"/>
              </w:rPr>
              <w:t>查现场。电气设备的选型符合《煤矿安全规程》第</w:t>
            </w:r>
            <w:r>
              <w:rPr>
                <w:rFonts w:ascii="宋体" w:hAnsi="宋体"/>
                <w:color w:val="000000"/>
                <w:sz w:val="24"/>
                <w:szCs w:val="24"/>
              </w:rPr>
              <w:t>441</w:t>
            </w:r>
            <w:r>
              <w:rPr>
                <w:rFonts w:hint="eastAsia" w:ascii="宋体" w:hAnsi="宋体"/>
                <w:color w:val="000000"/>
                <w:sz w:val="24"/>
                <w:szCs w:val="24"/>
              </w:rPr>
              <w:t>条的规定，有接地、过流、漏电等保护装置，无失爆现象</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运送人员设备（不得使用斜井</w:t>
            </w:r>
            <w:r>
              <w:rPr>
                <w:rFonts w:hint="eastAsia" w:ascii="宋体" w:hAnsi="宋体"/>
                <w:color w:val="000000"/>
                <w:sz w:val="24"/>
                <w:szCs w:val="24"/>
                <w:lang w:eastAsia="zh-CN"/>
              </w:rPr>
              <w:t>（巷）</w:t>
            </w:r>
            <w:r>
              <w:rPr>
                <w:rFonts w:hint="eastAsia" w:ascii="宋体" w:hAnsi="宋体"/>
                <w:color w:val="000000"/>
                <w:sz w:val="24"/>
                <w:szCs w:val="24"/>
              </w:rPr>
              <w:t>人车运送人员）</w:t>
            </w:r>
          </w:p>
        </w:tc>
        <w:tc>
          <w:tcPr>
            <w:tcW w:w="4500" w:type="dxa"/>
            <w:vAlign w:val="center"/>
          </w:tcPr>
          <w:p>
            <w:pPr>
              <w:autoSpaceDN w:val="0"/>
              <w:textAlignment w:val="center"/>
              <w:rPr>
                <w:sz w:val="24"/>
                <w:szCs w:val="24"/>
              </w:rPr>
            </w:pPr>
            <w:r>
              <w:rPr>
                <w:rFonts w:hint="eastAsia" w:ascii="宋体" w:hAnsi="宋体"/>
                <w:color w:val="000000"/>
                <w:sz w:val="24"/>
                <w:szCs w:val="24"/>
              </w:rPr>
              <w:t>查现场。检查运送人员设备及各项保护，符合《煤矿安全规程》第</w:t>
            </w:r>
            <w:r>
              <w:rPr>
                <w:rFonts w:ascii="宋体" w:hAnsi="宋体"/>
                <w:color w:val="000000"/>
                <w:sz w:val="24"/>
                <w:szCs w:val="24"/>
              </w:rPr>
              <w:t>382</w:t>
            </w:r>
            <w:r>
              <w:rPr>
                <w:rFonts w:hint="eastAsia" w:ascii="宋体" w:hAnsi="宋体"/>
                <w:color w:val="000000"/>
                <w:sz w:val="24"/>
                <w:szCs w:val="24"/>
              </w:rPr>
              <w:t>、</w:t>
            </w:r>
            <w:r>
              <w:rPr>
                <w:rFonts w:ascii="宋体" w:hAnsi="宋体"/>
                <w:color w:val="000000"/>
                <w:sz w:val="24"/>
                <w:szCs w:val="24"/>
              </w:rPr>
              <w:t>383</w:t>
            </w:r>
            <w:r>
              <w:rPr>
                <w:rFonts w:hint="eastAsia" w:ascii="宋体" w:hAnsi="宋体"/>
                <w:color w:val="000000"/>
                <w:sz w:val="24"/>
                <w:szCs w:val="24"/>
              </w:rPr>
              <w:t>、</w:t>
            </w:r>
            <w:r>
              <w:rPr>
                <w:rFonts w:ascii="宋体" w:hAnsi="宋体"/>
                <w:color w:val="000000"/>
                <w:sz w:val="24"/>
                <w:szCs w:val="24"/>
              </w:rPr>
              <w:t>385</w:t>
            </w:r>
            <w:r>
              <w:rPr>
                <w:rFonts w:hint="eastAsia" w:ascii="宋体" w:hAnsi="宋体"/>
                <w:color w:val="000000"/>
                <w:sz w:val="24"/>
                <w:szCs w:val="24"/>
              </w:rPr>
              <w:t>条等规定；架空乘人</w:t>
            </w:r>
            <w:r>
              <w:rPr>
                <w:rFonts w:hint="eastAsia" w:ascii="宋体" w:hAnsi="宋体"/>
                <w:color w:val="000000"/>
                <w:sz w:val="24"/>
                <w:szCs w:val="24"/>
                <w:lang w:eastAsia="zh-CN"/>
              </w:rPr>
              <w:t>装置</w:t>
            </w:r>
            <w:r>
              <w:rPr>
                <w:rFonts w:hint="eastAsia" w:ascii="宋体" w:hAnsi="宋体"/>
                <w:color w:val="000000"/>
                <w:sz w:val="24"/>
                <w:szCs w:val="24"/>
              </w:rPr>
              <w:t>性能检测检验报告合格有效</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煤炭运输系统</w:t>
            </w:r>
          </w:p>
        </w:tc>
        <w:tc>
          <w:tcPr>
            <w:tcW w:w="4500" w:type="dxa"/>
            <w:vAlign w:val="center"/>
          </w:tcPr>
          <w:p>
            <w:pPr>
              <w:autoSpaceDN w:val="0"/>
              <w:textAlignment w:val="center"/>
              <w:rPr>
                <w:sz w:val="24"/>
                <w:szCs w:val="24"/>
              </w:rPr>
            </w:pPr>
            <w:r>
              <w:rPr>
                <w:rFonts w:hint="eastAsia" w:ascii="宋体" w:hAnsi="宋体"/>
                <w:color w:val="000000"/>
                <w:sz w:val="24"/>
                <w:szCs w:val="24"/>
              </w:rPr>
              <w:t>查现场。井下煤炭（工程煤）运输设备符合《煤矿安全规程》的相关规定</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121" w:hRule="atLeast"/>
        </w:trP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辅助运输系统</w:t>
            </w:r>
          </w:p>
        </w:tc>
        <w:tc>
          <w:tcPr>
            <w:tcW w:w="4500" w:type="dxa"/>
            <w:vAlign w:val="center"/>
          </w:tcPr>
          <w:p>
            <w:pPr>
              <w:autoSpaceDN w:val="0"/>
              <w:textAlignment w:val="center"/>
              <w:rPr>
                <w:sz w:val="24"/>
                <w:szCs w:val="24"/>
              </w:rPr>
            </w:pPr>
            <w:r>
              <w:rPr>
                <w:rFonts w:hint="eastAsia" w:ascii="宋体" w:hAnsi="宋体"/>
                <w:color w:val="000000"/>
                <w:sz w:val="24"/>
                <w:szCs w:val="24"/>
              </w:rPr>
              <w:t>查现场。检查井下辅助运输设备及各项保护。倾斜井巷内使用串车提升时符合《煤矿安全规程》第</w:t>
            </w:r>
            <w:r>
              <w:rPr>
                <w:rFonts w:ascii="宋体" w:hAnsi="宋体"/>
                <w:color w:val="000000"/>
                <w:sz w:val="24"/>
                <w:szCs w:val="24"/>
              </w:rPr>
              <w:t>387</w:t>
            </w:r>
            <w:r>
              <w:rPr>
                <w:rFonts w:hint="eastAsia" w:ascii="宋体" w:hAnsi="宋体"/>
                <w:color w:val="000000"/>
                <w:sz w:val="24"/>
                <w:szCs w:val="24"/>
              </w:rPr>
              <w:t>条规定</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076" w:hRule="atLeast"/>
        </w:trPr>
        <w:tc>
          <w:tcPr>
            <w:tcW w:w="789" w:type="dxa"/>
            <w:vMerge w:val="restart"/>
            <w:vAlign w:val="center"/>
          </w:tcPr>
          <w:p>
            <w:pPr>
              <w:autoSpaceDN w:val="0"/>
              <w:jc w:val="center"/>
              <w:textAlignment w:val="center"/>
              <w:rPr>
                <w:sz w:val="24"/>
                <w:szCs w:val="24"/>
              </w:rPr>
            </w:pPr>
            <w:r>
              <w:rPr>
                <w:rFonts w:hint="eastAsia" w:ascii="宋体" w:hAnsi="宋体"/>
                <w:color w:val="000000"/>
                <w:sz w:val="24"/>
                <w:szCs w:val="24"/>
              </w:rPr>
              <w:t>八</w:t>
            </w:r>
          </w:p>
        </w:tc>
        <w:tc>
          <w:tcPr>
            <w:tcW w:w="1245" w:type="dxa"/>
            <w:vMerge w:val="restart"/>
            <w:vAlign w:val="center"/>
          </w:tcPr>
          <w:p>
            <w:pPr>
              <w:autoSpaceDN w:val="0"/>
              <w:jc w:val="center"/>
              <w:textAlignment w:val="center"/>
              <w:rPr>
                <w:sz w:val="24"/>
                <w:szCs w:val="24"/>
              </w:rPr>
            </w:pPr>
            <w:r>
              <w:rPr>
                <w:rFonts w:hint="eastAsia" w:ascii="宋体" w:hAnsi="宋体"/>
                <w:color w:val="000000"/>
                <w:sz w:val="24"/>
                <w:szCs w:val="24"/>
              </w:rPr>
              <w:t>应急救援</w:t>
            </w:r>
          </w:p>
        </w:tc>
        <w:tc>
          <w:tcPr>
            <w:tcW w:w="2680" w:type="dxa"/>
            <w:vAlign w:val="center"/>
          </w:tcPr>
          <w:p>
            <w:pPr>
              <w:autoSpaceDN w:val="0"/>
              <w:textAlignment w:val="center"/>
              <w:rPr>
                <w:rFonts w:hint="eastAsia" w:ascii="宋体" w:hAnsi="宋体"/>
                <w:color w:val="000000"/>
                <w:sz w:val="24"/>
                <w:szCs w:val="24"/>
              </w:rPr>
            </w:pPr>
            <w:r>
              <w:rPr>
                <w:rFonts w:hint="eastAsia" w:ascii="宋体" w:hAnsi="宋体"/>
                <w:color w:val="000000"/>
                <w:sz w:val="24"/>
                <w:szCs w:val="24"/>
              </w:rPr>
              <w:t>调度指挥机构</w:t>
            </w:r>
          </w:p>
        </w:tc>
        <w:tc>
          <w:tcPr>
            <w:tcW w:w="4500" w:type="dxa"/>
            <w:vAlign w:val="center"/>
          </w:tcPr>
          <w:p>
            <w:pPr>
              <w:autoSpaceDN w:val="0"/>
              <w:textAlignment w:val="center"/>
              <w:rPr>
                <w:rFonts w:hint="eastAsia" w:ascii="宋体" w:hAnsi="宋体"/>
                <w:color w:val="000000"/>
                <w:sz w:val="24"/>
                <w:szCs w:val="24"/>
              </w:rPr>
            </w:pPr>
            <w:r>
              <w:rPr>
                <w:rFonts w:hint="eastAsia" w:ascii="宋体" w:hAnsi="宋体"/>
                <w:color w:val="000000"/>
                <w:sz w:val="24"/>
                <w:szCs w:val="24"/>
              </w:rPr>
              <w:t>查机构。检查设置的调度指挥部门，及岗位职责等情况，保证每天</w:t>
            </w:r>
            <w:r>
              <w:rPr>
                <w:rFonts w:ascii="宋体" w:hAnsi="宋体"/>
                <w:color w:val="000000"/>
                <w:sz w:val="24"/>
                <w:szCs w:val="24"/>
              </w:rPr>
              <w:t>24</w:t>
            </w:r>
            <w:r>
              <w:rPr>
                <w:rFonts w:hint="eastAsia" w:ascii="宋体" w:hAnsi="宋体"/>
                <w:color w:val="000000"/>
                <w:sz w:val="24"/>
                <w:szCs w:val="24"/>
              </w:rPr>
              <w:t>小时专人值守，每班工作人员满足调度工作要求</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rPr>
          <w:trHeight w:val="604" w:hRule="atLeast"/>
        </w:trPr>
        <w:tc>
          <w:tcPr>
            <w:tcW w:w="789" w:type="dxa"/>
            <w:vMerge w:val="continue"/>
            <w:vAlign w:val="center"/>
          </w:tcPr>
          <w:p>
            <w:pPr>
              <w:autoSpaceDN w:val="0"/>
              <w:jc w:val="center"/>
              <w:textAlignment w:val="center"/>
              <w:rPr>
                <w:sz w:val="24"/>
                <w:szCs w:val="24"/>
              </w:rPr>
            </w:pPr>
          </w:p>
        </w:tc>
        <w:tc>
          <w:tcPr>
            <w:tcW w:w="1245" w:type="dxa"/>
            <w:vMerge w:val="continue"/>
            <w:vAlign w:val="center"/>
          </w:tcPr>
          <w:p>
            <w:pPr>
              <w:autoSpaceDN w:val="0"/>
              <w:jc w:val="center"/>
              <w:textAlignment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救援物资储备</w:t>
            </w:r>
          </w:p>
        </w:tc>
        <w:tc>
          <w:tcPr>
            <w:tcW w:w="4500" w:type="dxa"/>
            <w:vAlign w:val="center"/>
          </w:tcPr>
          <w:p>
            <w:pPr>
              <w:autoSpaceDN w:val="0"/>
              <w:textAlignment w:val="center"/>
              <w:rPr>
                <w:sz w:val="24"/>
                <w:szCs w:val="24"/>
              </w:rPr>
            </w:pPr>
            <w:r>
              <w:rPr>
                <w:rFonts w:hint="eastAsia" w:ascii="宋体" w:hAnsi="宋体"/>
                <w:color w:val="000000"/>
                <w:sz w:val="24"/>
                <w:szCs w:val="24"/>
              </w:rPr>
              <w:t>查资料和现场。储备必要的救援物资</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358" w:hRule="atLeast"/>
        </w:trPr>
        <w:tc>
          <w:tcPr>
            <w:tcW w:w="789" w:type="dxa"/>
            <w:vMerge w:val="restart"/>
            <w:vAlign w:val="center"/>
          </w:tcPr>
          <w:p>
            <w:pPr>
              <w:autoSpaceDN w:val="0"/>
              <w:jc w:val="center"/>
              <w:textAlignment w:val="center"/>
              <w:rPr>
                <w:sz w:val="24"/>
                <w:szCs w:val="24"/>
              </w:rPr>
            </w:pPr>
            <w:r>
              <w:rPr>
                <w:rFonts w:hint="eastAsia" w:ascii="宋体" w:hAnsi="宋体"/>
                <w:color w:val="000000"/>
                <w:sz w:val="24"/>
                <w:szCs w:val="24"/>
              </w:rPr>
              <w:t>九</w:t>
            </w:r>
          </w:p>
        </w:tc>
        <w:tc>
          <w:tcPr>
            <w:tcW w:w="1245" w:type="dxa"/>
            <w:vMerge w:val="restart"/>
            <w:vAlign w:val="center"/>
          </w:tcPr>
          <w:p>
            <w:pPr>
              <w:autoSpaceDN w:val="0"/>
              <w:jc w:val="center"/>
              <w:textAlignment w:val="center"/>
              <w:rPr>
                <w:rFonts w:ascii="宋体"/>
                <w:color w:val="000000"/>
                <w:sz w:val="24"/>
                <w:szCs w:val="24"/>
              </w:rPr>
            </w:pPr>
            <w:r>
              <w:rPr>
                <w:rFonts w:hint="eastAsia" w:ascii="宋体" w:hAnsi="宋体"/>
                <w:color w:val="000000"/>
                <w:sz w:val="24"/>
                <w:szCs w:val="24"/>
              </w:rPr>
              <w:t>安全</w:t>
            </w:r>
          </w:p>
          <w:p>
            <w:pPr>
              <w:autoSpaceDN w:val="0"/>
              <w:jc w:val="center"/>
              <w:textAlignment w:val="center"/>
              <w:rPr>
                <w:rFonts w:ascii="宋体"/>
                <w:color w:val="000000"/>
                <w:sz w:val="24"/>
                <w:szCs w:val="24"/>
              </w:rPr>
            </w:pPr>
            <w:r>
              <w:rPr>
                <w:rFonts w:hint="eastAsia" w:ascii="宋体" w:hAnsi="宋体"/>
                <w:color w:val="000000"/>
                <w:sz w:val="24"/>
                <w:szCs w:val="24"/>
              </w:rPr>
              <w:t>风险</w:t>
            </w:r>
          </w:p>
          <w:p>
            <w:pPr>
              <w:autoSpaceDN w:val="0"/>
              <w:jc w:val="center"/>
              <w:textAlignment w:val="center"/>
              <w:rPr>
                <w:rFonts w:ascii="宋体"/>
                <w:color w:val="000000"/>
                <w:sz w:val="24"/>
                <w:szCs w:val="24"/>
              </w:rPr>
            </w:pPr>
            <w:r>
              <w:rPr>
                <w:rFonts w:hint="eastAsia" w:ascii="宋体" w:hAnsi="宋体"/>
                <w:color w:val="000000"/>
                <w:sz w:val="24"/>
                <w:szCs w:val="24"/>
              </w:rPr>
              <w:t>分级</w:t>
            </w:r>
          </w:p>
          <w:p>
            <w:pPr>
              <w:autoSpaceDN w:val="0"/>
              <w:jc w:val="center"/>
              <w:textAlignment w:val="center"/>
              <w:rPr>
                <w:sz w:val="24"/>
                <w:szCs w:val="24"/>
              </w:rPr>
            </w:pPr>
            <w:r>
              <w:rPr>
                <w:rFonts w:hint="eastAsia" w:ascii="宋体" w:hAnsi="宋体"/>
                <w:color w:val="000000"/>
                <w:sz w:val="24"/>
                <w:szCs w:val="24"/>
              </w:rPr>
              <w:t>管控</w:t>
            </w:r>
          </w:p>
        </w:tc>
        <w:tc>
          <w:tcPr>
            <w:tcW w:w="2680" w:type="dxa"/>
            <w:vAlign w:val="center"/>
          </w:tcPr>
          <w:p>
            <w:pPr>
              <w:autoSpaceDN w:val="0"/>
              <w:textAlignment w:val="center"/>
              <w:rPr>
                <w:sz w:val="24"/>
                <w:szCs w:val="24"/>
              </w:rPr>
            </w:pPr>
            <w:r>
              <w:rPr>
                <w:rFonts w:hint="eastAsia" w:ascii="宋体" w:hAnsi="宋体"/>
                <w:color w:val="000000"/>
                <w:sz w:val="24"/>
                <w:szCs w:val="24"/>
              </w:rPr>
              <w:t>安全风险辨识评估</w:t>
            </w:r>
          </w:p>
        </w:tc>
        <w:tc>
          <w:tcPr>
            <w:tcW w:w="4500" w:type="dxa"/>
            <w:vAlign w:val="center"/>
          </w:tcPr>
          <w:p>
            <w:pPr>
              <w:autoSpaceDN w:val="0"/>
              <w:textAlignment w:val="center"/>
              <w:rPr>
                <w:sz w:val="24"/>
                <w:szCs w:val="24"/>
              </w:rPr>
            </w:pPr>
            <w:r>
              <w:fldChar w:fldCharType="begin"/>
            </w:r>
            <w:r>
              <w:instrText xml:space="preserve"> HYPERLINK "http://www.chinasafety.gov.cn/newpage/Contents/Channel_6289/2017/0204/282826/files_founder_57504588/918322468.pdf" </w:instrText>
            </w:r>
            <w:r>
              <w:fldChar w:fldCharType="separate"/>
            </w:r>
            <w:r>
              <w:rPr>
                <w:rFonts w:hint="eastAsia" w:ascii="宋体" w:hAnsi="宋体"/>
                <w:sz w:val="24"/>
                <w:szCs w:val="24"/>
              </w:rPr>
              <w:t>查资料和现场。</w:t>
            </w:r>
            <w:r>
              <w:rPr>
                <w:rFonts w:hint="eastAsia" w:ascii="宋体" w:hAnsi="宋体"/>
                <w:sz w:val="24"/>
                <w:szCs w:val="24"/>
                <w:lang w:eastAsia="zh-CN"/>
              </w:rPr>
              <w:t>参</w:t>
            </w:r>
            <w:r>
              <w:rPr>
                <w:rFonts w:hint="eastAsia" w:ascii="宋体" w:hAnsi="宋体"/>
                <w:sz w:val="24"/>
                <w:szCs w:val="24"/>
              </w:rPr>
              <w:t>照《煤矿安全生产标准化基本要求及评分方法（试行）》关于安全风险分级管控的要求，开展年度辨识评估和专项辨识评估</w:t>
            </w:r>
            <w:r>
              <w:rPr>
                <w:rFonts w:hint="eastAsia" w:ascii="宋体" w:hAnsi="宋体"/>
                <w:sz w:val="24"/>
                <w:szCs w:val="24"/>
              </w:rPr>
              <w:fldChar w:fldCharType="end"/>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rPr>
          <w:trHeight w:val="1700" w:hRule="atLeast"/>
        </w:trP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安全风险管控</w:t>
            </w:r>
          </w:p>
        </w:tc>
        <w:tc>
          <w:tcPr>
            <w:tcW w:w="4500" w:type="dxa"/>
            <w:vAlign w:val="center"/>
          </w:tcPr>
          <w:p>
            <w:pPr>
              <w:autoSpaceDN w:val="0"/>
              <w:textAlignment w:val="center"/>
              <w:rPr>
                <w:sz w:val="24"/>
                <w:szCs w:val="24"/>
              </w:rPr>
            </w:pPr>
            <w:r>
              <w:rPr>
                <w:rFonts w:hint="eastAsia" w:ascii="宋体" w:hAnsi="宋体"/>
                <w:color w:val="000000"/>
                <w:sz w:val="24"/>
                <w:szCs w:val="24"/>
              </w:rPr>
              <w:t>查资料和现场。</w:t>
            </w:r>
            <w:r>
              <w:rPr>
                <w:rFonts w:hint="eastAsia" w:ascii="宋体" w:hAnsi="宋体"/>
                <w:color w:val="000000"/>
                <w:sz w:val="24"/>
                <w:szCs w:val="24"/>
                <w:lang w:eastAsia="zh-CN"/>
              </w:rPr>
              <w:t>参</w:t>
            </w:r>
            <w:r>
              <w:rPr>
                <w:rFonts w:hint="eastAsia" w:ascii="宋体" w:hAnsi="宋体"/>
                <w:color w:val="000000"/>
                <w:sz w:val="24"/>
                <w:szCs w:val="24"/>
              </w:rPr>
              <w:t>照《煤矿安全生产标准化基本要求及评分方法（试行）》关于安全风险分级管控的要求，落实管控措施，开展定期检查和现场检查，并进行公告警示</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1403" w:hRule="atLeast"/>
        </w:trPr>
        <w:tc>
          <w:tcPr>
            <w:tcW w:w="789" w:type="dxa"/>
            <w:vMerge w:val="restart"/>
            <w:vAlign w:val="center"/>
          </w:tcPr>
          <w:p>
            <w:pPr>
              <w:autoSpaceDN w:val="0"/>
              <w:jc w:val="center"/>
              <w:textAlignment w:val="center"/>
              <w:rPr>
                <w:sz w:val="24"/>
                <w:szCs w:val="24"/>
              </w:rPr>
            </w:pPr>
            <w:r>
              <w:rPr>
                <w:rFonts w:hint="eastAsia" w:ascii="宋体" w:hAnsi="宋体"/>
                <w:color w:val="000000"/>
                <w:sz w:val="24"/>
                <w:szCs w:val="24"/>
              </w:rPr>
              <w:t>十</w:t>
            </w:r>
          </w:p>
        </w:tc>
        <w:tc>
          <w:tcPr>
            <w:tcW w:w="1245" w:type="dxa"/>
            <w:vMerge w:val="restart"/>
            <w:vAlign w:val="center"/>
          </w:tcPr>
          <w:p>
            <w:pPr>
              <w:autoSpaceDN w:val="0"/>
              <w:jc w:val="center"/>
              <w:textAlignment w:val="center"/>
              <w:rPr>
                <w:rFonts w:ascii="宋体"/>
                <w:color w:val="000000"/>
                <w:sz w:val="24"/>
                <w:szCs w:val="24"/>
              </w:rPr>
            </w:pPr>
            <w:r>
              <w:rPr>
                <w:rFonts w:hint="eastAsia" w:ascii="宋体" w:hAnsi="宋体"/>
                <w:color w:val="000000"/>
                <w:sz w:val="24"/>
                <w:szCs w:val="24"/>
              </w:rPr>
              <w:t>事故</w:t>
            </w:r>
          </w:p>
          <w:p>
            <w:pPr>
              <w:autoSpaceDN w:val="0"/>
              <w:jc w:val="center"/>
              <w:textAlignment w:val="center"/>
              <w:rPr>
                <w:rFonts w:ascii="宋体"/>
                <w:color w:val="000000"/>
                <w:sz w:val="24"/>
                <w:szCs w:val="24"/>
              </w:rPr>
            </w:pPr>
            <w:r>
              <w:rPr>
                <w:rFonts w:hint="eastAsia" w:ascii="宋体" w:hAnsi="宋体"/>
                <w:color w:val="000000"/>
                <w:sz w:val="24"/>
                <w:szCs w:val="24"/>
              </w:rPr>
              <w:t>隐患</w:t>
            </w:r>
          </w:p>
          <w:p>
            <w:pPr>
              <w:autoSpaceDN w:val="0"/>
              <w:jc w:val="center"/>
              <w:textAlignment w:val="center"/>
              <w:rPr>
                <w:sz w:val="24"/>
                <w:szCs w:val="24"/>
              </w:rPr>
            </w:pPr>
            <w:r>
              <w:rPr>
                <w:rFonts w:hint="eastAsia" w:ascii="宋体" w:hAnsi="宋体"/>
                <w:color w:val="000000"/>
                <w:sz w:val="24"/>
                <w:szCs w:val="24"/>
              </w:rPr>
              <w:t>排查</w:t>
            </w:r>
          </w:p>
        </w:tc>
        <w:tc>
          <w:tcPr>
            <w:tcW w:w="2680" w:type="dxa"/>
            <w:vAlign w:val="center"/>
          </w:tcPr>
          <w:p>
            <w:pPr>
              <w:autoSpaceDN w:val="0"/>
              <w:textAlignment w:val="center"/>
              <w:rPr>
                <w:sz w:val="24"/>
                <w:szCs w:val="24"/>
              </w:rPr>
            </w:pPr>
            <w:r>
              <w:rPr>
                <w:rFonts w:hint="eastAsia" w:ascii="宋体" w:hAnsi="宋体"/>
                <w:color w:val="000000"/>
                <w:sz w:val="24"/>
                <w:szCs w:val="24"/>
              </w:rPr>
              <w:t>事故隐患排查治理制度</w:t>
            </w:r>
          </w:p>
        </w:tc>
        <w:tc>
          <w:tcPr>
            <w:tcW w:w="4500" w:type="dxa"/>
            <w:vAlign w:val="center"/>
          </w:tcPr>
          <w:p>
            <w:pPr>
              <w:autoSpaceDN w:val="0"/>
              <w:textAlignment w:val="center"/>
              <w:rPr>
                <w:sz w:val="24"/>
                <w:szCs w:val="24"/>
              </w:rPr>
            </w:pPr>
            <w:r>
              <w:rPr>
                <w:rFonts w:hint="eastAsia" w:ascii="宋体" w:hAnsi="宋体"/>
                <w:color w:val="000000"/>
                <w:sz w:val="24"/>
                <w:szCs w:val="24"/>
              </w:rPr>
              <w:t>查制度。随机抽查一个季度执行《煤矿生产安全事故隐患排查治理制度建设指南》的情况，以及向从业人员通报事故隐患排查治理等情况</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rPr>
          <w:trHeight w:val="779" w:hRule="atLeast"/>
        </w:trP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事故隐患排查情况</w:t>
            </w:r>
          </w:p>
        </w:tc>
        <w:tc>
          <w:tcPr>
            <w:tcW w:w="4500" w:type="dxa"/>
            <w:vAlign w:val="center"/>
          </w:tcPr>
          <w:p>
            <w:pPr>
              <w:autoSpaceDN w:val="0"/>
              <w:textAlignment w:val="center"/>
              <w:rPr>
                <w:sz w:val="24"/>
                <w:szCs w:val="24"/>
              </w:rPr>
            </w:pPr>
            <w:r>
              <w:rPr>
                <w:rFonts w:hint="eastAsia" w:ascii="宋体" w:hAnsi="宋体"/>
                <w:color w:val="000000"/>
                <w:sz w:val="24"/>
                <w:szCs w:val="24"/>
              </w:rPr>
              <w:t>查现场。无《煤矿重大生产安全事故隐患判定标准》第四条至第十八条所列情形</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794" w:hRule="atLeast"/>
        </w:trPr>
        <w:tc>
          <w:tcPr>
            <w:tcW w:w="789" w:type="dxa"/>
            <w:vMerge w:val="restart"/>
            <w:vAlign w:val="center"/>
          </w:tcPr>
          <w:p>
            <w:pPr>
              <w:autoSpaceDN w:val="0"/>
              <w:jc w:val="center"/>
              <w:textAlignment w:val="center"/>
              <w:rPr>
                <w:sz w:val="24"/>
                <w:szCs w:val="24"/>
              </w:rPr>
            </w:pPr>
            <w:r>
              <w:rPr>
                <w:rFonts w:hint="eastAsia" w:ascii="宋体" w:hAnsi="宋体"/>
                <w:color w:val="000000"/>
                <w:sz w:val="24"/>
                <w:szCs w:val="24"/>
              </w:rPr>
              <w:t>十一</w:t>
            </w:r>
          </w:p>
        </w:tc>
        <w:tc>
          <w:tcPr>
            <w:tcW w:w="1245" w:type="dxa"/>
            <w:vMerge w:val="restart"/>
            <w:vAlign w:val="center"/>
          </w:tcPr>
          <w:p>
            <w:pPr>
              <w:autoSpaceDN w:val="0"/>
              <w:jc w:val="center"/>
              <w:textAlignment w:val="center"/>
              <w:rPr>
                <w:rFonts w:ascii="宋体"/>
                <w:color w:val="000000"/>
                <w:sz w:val="24"/>
                <w:szCs w:val="24"/>
              </w:rPr>
            </w:pPr>
            <w:r>
              <w:rPr>
                <w:rFonts w:hint="eastAsia" w:ascii="宋体" w:hAnsi="宋体"/>
                <w:color w:val="000000"/>
                <w:sz w:val="24"/>
                <w:szCs w:val="24"/>
              </w:rPr>
              <w:t>停建</w:t>
            </w:r>
          </w:p>
          <w:p>
            <w:pPr>
              <w:autoSpaceDN w:val="0"/>
              <w:jc w:val="center"/>
              <w:textAlignment w:val="center"/>
              <w:rPr>
                <w:rFonts w:ascii="宋体"/>
                <w:color w:val="000000"/>
                <w:sz w:val="24"/>
                <w:szCs w:val="24"/>
              </w:rPr>
            </w:pPr>
            <w:r>
              <w:rPr>
                <w:rFonts w:hint="eastAsia" w:ascii="宋体" w:hAnsi="宋体"/>
                <w:color w:val="000000"/>
                <w:sz w:val="24"/>
                <w:szCs w:val="24"/>
              </w:rPr>
              <w:t>及</w:t>
            </w:r>
          </w:p>
          <w:p>
            <w:pPr>
              <w:autoSpaceDN w:val="0"/>
              <w:jc w:val="center"/>
              <w:textAlignment w:val="center"/>
              <w:rPr>
                <w:sz w:val="24"/>
                <w:szCs w:val="24"/>
              </w:rPr>
            </w:pPr>
            <w:r>
              <w:rPr>
                <w:rFonts w:hint="eastAsia" w:ascii="宋体" w:hAnsi="宋体"/>
                <w:color w:val="000000"/>
                <w:sz w:val="24"/>
                <w:szCs w:val="24"/>
              </w:rPr>
              <w:t>整顿</w:t>
            </w:r>
          </w:p>
        </w:tc>
        <w:tc>
          <w:tcPr>
            <w:tcW w:w="2680" w:type="dxa"/>
            <w:vAlign w:val="center"/>
          </w:tcPr>
          <w:p>
            <w:pPr>
              <w:autoSpaceDN w:val="0"/>
              <w:textAlignment w:val="center"/>
              <w:rPr>
                <w:sz w:val="24"/>
                <w:szCs w:val="24"/>
              </w:rPr>
            </w:pPr>
            <w:r>
              <w:rPr>
                <w:rFonts w:hint="eastAsia" w:ascii="宋体" w:hAnsi="宋体"/>
                <w:color w:val="000000"/>
                <w:sz w:val="24"/>
                <w:szCs w:val="24"/>
              </w:rPr>
              <w:t>停建措施落实</w:t>
            </w:r>
          </w:p>
        </w:tc>
        <w:tc>
          <w:tcPr>
            <w:tcW w:w="4500" w:type="dxa"/>
            <w:vAlign w:val="center"/>
          </w:tcPr>
          <w:p>
            <w:pPr>
              <w:autoSpaceDN w:val="0"/>
              <w:textAlignment w:val="center"/>
              <w:rPr>
                <w:sz w:val="24"/>
                <w:szCs w:val="24"/>
              </w:rPr>
            </w:pPr>
            <w:r>
              <w:rPr>
                <w:rFonts w:hint="eastAsia" w:ascii="宋体" w:hAnsi="宋体"/>
                <w:color w:val="000000"/>
                <w:sz w:val="24"/>
                <w:szCs w:val="24"/>
              </w:rPr>
              <w:t>查资料和现场。按《山西省煤矿复产复建管理办法》的规定落实停建措施</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restart"/>
            <w:vAlign w:val="top"/>
          </w:tcPr>
          <w:p/>
        </w:tc>
      </w:tr>
      <w:tr>
        <w:trPr>
          <w:trHeight w:val="1373" w:hRule="atLeast"/>
        </w:trP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复建整顿情况</w:t>
            </w:r>
          </w:p>
        </w:tc>
        <w:tc>
          <w:tcPr>
            <w:tcW w:w="4500" w:type="dxa"/>
            <w:vAlign w:val="center"/>
          </w:tcPr>
          <w:p>
            <w:pPr>
              <w:autoSpaceDN w:val="0"/>
              <w:textAlignment w:val="center"/>
              <w:rPr>
                <w:sz w:val="24"/>
                <w:szCs w:val="24"/>
              </w:rPr>
            </w:pPr>
            <w:r>
              <w:rPr>
                <w:rFonts w:hint="eastAsia" w:ascii="宋体" w:hAnsi="宋体"/>
                <w:color w:val="000000"/>
                <w:sz w:val="24"/>
                <w:szCs w:val="24"/>
              </w:rPr>
              <w:t>查资料和现场。检查批准的整顿方案，在限定的整顿时间内，由煤矿主要负责人组织并完成全面整顿；检查整顿期间用电量</w:t>
            </w:r>
            <w:r>
              <w:rPr>
                <w:rFonts w:hint="eastAsia" w:ascii="宋体" w:hAnsi="宋体"/>
                <w:color w:val="000000"/>
                <w:sz w:val="24"/>
                <w:szCs w:val="24"/>
                <w:lang w:eastAsia="zh-CN"/>
              </w:rPr>
              <w:t>等</w:t>
            </w:r>
            <w:r>
              <w:rPr>
                <w:rFonts w:hint="eastAsia" w:ascii="宋体" w:hAnsi="宋体"/>
                <w:color w:val="000000"/>
                <w:sz w:val="24"/>
                <w:szCs w:val="24"/>
              </w:rPr>
              <w:t>，核查有无生产作业行为</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r>
        <w:trPr>
          <w:trHeight w:val="789" w:hRule="atLeast"/>
        </w:trPr>
        <w:tc>
          <w:tcPr>
            <w:tcW w:w="789" w:type="dxa"/>
            <w:vMerge w:val="continue"/>
            <w:vAlign w:val="center"/>
          </w:tcPr>
          <w:p>
            <w:pPr>
              <w:rPr>
                <w:sz w:val="24"/>
                <w:szCs w:val="24"/>
              </w:rPr>
            </w:pPr>
          </w:p>
        </w:tc>
        <w:tc>
          <w:tcPr>
            <w:tcW w:w="1245" w:type="dxa"/>
            <w:vMerge w:val="continue"/>
            <w:vAlign w:val="center"/>
          </w:tcPr>
          <w:p>
            <w:pPr>
              <w:autoSpaceDN w:val="0"/>
              <w:jc w:val="center"/>
              <w:rPr>
                <w:sz w:val="24"/>
                <w:szCs w:val="24"/>
              </w:rPr>
            </w:pPr>
          </w:p>
        </w:tc>
        <w:tc>
          <w:tcPr>
            <w:tcW w:w="2680" w:type="dxa"/>
            <w:vAlign w:val="center"/>
          </w:tcPr>
          <w:p>
            <w:pPr>
              <w:autoSpaceDN w:val="0"/>
              <w:textAlignment w:val="center"/>
              <w:rPr>
                <w:sz w:val="24"/>
                <w:szCs w:val="24"/>
              </w:rPr>
            </w:pPr>
            <w:r>
              <w:rPr>
                <w:rFonts w:hint="eastAsia" w:ascii="宋体" w:hAnsi="宋体"/>
                <w:color w:val="000000"/>
                <w:sz w:val="24"/>
                <w:szCs w:val="24"/>
              </w:rPr>
              <w:t>组织职工进行安全教育和培训</w:t>
            </w:r>
          </w:p>
        </w:tc>
        <w:tc>
          <w:tcPr>
            <w:tcW w:w="4500" w:type="dxa"/>
            <w:vAlign w:val="center"/>
          </w:tcPr>
          <w:p>
            <w:pPr>
              <w:autoSpaceDN w:val="0"/>
              <w:textAlignment w:val="center"/>
              <w:rPr>
                <w:sz w:val="24"/>
                <w:szCs w:val="24"/>
              </w:rPr>
            </w:pPr>
            <w:r>
              <w:rPr>
                <w:rFonts w:hint="eastAsia" w:ascii="宋体" w:hAnsi="宋体"/>
                <w:color w:val="000000"/>
                <w:sz w:val="24"/>
                <w:szCs w:val="24"/>
              </w:rPr>
              <w:t>查资料。检查复建前对职工的安全教育和培训情况，随机询问职工培训内容</w:t>
            </w:r>
          </w:p>
        </w:tc>
        <w:tc>
          <w:tcPr>
            <w:tcW w:w="1425" w:type="dxa"/>
            <w:vAlign w:val="top"/>
          </w:tcPr>
          <w:p>
            <w:pPr>
              <w:rPr>
                <w:sz w:val="24"/>
                <w:szCs w:val="24"/>
              </w:rPr>
            </w:pPr>
          </w:p>
        </w:tc>
        <w:tc>
          <w:tcPr>
            <w:tcW w:w="1005" w:type="dxa"/>
            <w:vAlign w:val="top"/>
          </w:tcPr>
          <w:p>
            <w:pPr>
              <w:rPr>
                <w:sz w:val="24"/>
                <w:szCs w:val="24"/>
              </w:rPr>
            </w:pPr>
          </w:p>
        </w:tc>
        <w:tc>
          <w:tcPr>
            <w:tcW w:w="1155" w:type="dxa"/>
            <w:vAlign w:val="top"/>
          </w:tcPr>
          <w:p>
            <w:pPr>
              <w:rPr>
                <w:sz w:val="24"/>
                <w:szCs w:val="24"/>
              </w:rPr>
            </w:pPr>
          </w:p>
        </w:tc>
        <w:tc>
          <w:tcPr>
            <w:tcW w:w="833" w:type="dxa"/>
            <w:vMerge w:val="continue"/>
            <w:vAlign w:val="top"/>
          </w:tcPr>
          <w:p/>
        </w:tc>
      </w:tr>
    </w:tbl>
    <w:p/>
    <w:p/>
    <w:p/>
    <w:p/>
    <w:p/>
    <w:sectPr>
      <w:pgSz w:w="16783" w:h="23757"/>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Unicode"/>
    <w:panose1 w:val="020F0502020204030204"/>
    <w:charset w:val="00"/>
    <w:family w:val="auto"/>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502</Words>
  <Characters>2864</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2019-07-06T02:33:00Z</dcterms:created>
  <dc:creator>lenovo</dc:creator>
  <cp:lastPrinted>2019-03-22T16:30:00Z</cp:lastPrinted>
  <dcterms:modified xsi:type="dcterms:W3CDTF">2019-07-22T11:34:27Z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